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908" w:rsidRPr="00FB4921" w:rsidRDefault="00393FC9" w:rsidP="001A2447">
      <w:pPr>
        <w:tabs>
          <w:tab w:val="left" w:pos="2835"/>
        </w:tabs>
        <w:spacing w:before="100" w:beforeAutospacing="1" w:after="80"/>
        <w:jc w:val="both"/>
        <w:rPr>
          <w:rFonts w:ascii="Arial" w:hAnsi="Arial" w:cs="Arial"/>
          <w:b/>
          <w:sz w:val="28"/>
          <w:szCs w:val="28"/>
        </w:rPr>
      </w:pPr>
      <w:r w:rsidRPr="00970A41">
        <w:rPr>
          <w:rFonts w:ascii="Arial" w:eastAsia="Times New Roman" w:hAnsi="Arial" w:cs="Arial"/>
          <w:b/>
          <w:sz w:val="28"/>
          <w:szCs w:val="28"/>
          <w:lang w:eastAsia="en-US"/>
        </w:rPr>
        <w:t>ANTIMICROBIAL STEWARDSHIP</w:t>
      </w:r>
      <w:r w:rsidR="00961FC5" w:rsidRPr="00970A41">
        <w:rPr>
          <w:rFonts w:ascii="Arial" w:hAnsi="Arial" w:cs="Arial"/>
          <w:b/>
          <w:sz w:val="28"/>
          <w:szCs w:val="28"/>
        </w:rPr>
        <w:t xml:space="preserve"> </w:t>
      </w:r>
      <w:r w:rsidR="006B7683">
        <w:rPr>
          <w:rFonts w:ascii="Arial" w:hAnsi="Arial" w:cs="Arial"/>
          <w:b/>
          <w:noProof/>
          <w:sz w:val="28"/>
          <w:szCs w:val="28"/>
          <w:lang w:val="en-AU" w:eastAsia="en-AU"/>
        </w:rPr>
        <w:drawing>
          <wp:inline distT="0" distB="0" distL="0" distR="0" wp14:anchorId="6C6269E9" wp14:editId="26BC9F83">
            <wp:extent cx="276225" cy="276225"/>
            <wp:effectExtent l="0" t="0" r="9525" b="9525"/>
            <wp:docPr id="10" name="Picture 10" descr="C:\Users\EmilyPezzotti\AppData\Local\Microsoft\Windows\INetCache\Content.MSO\5F9A429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milyPezzotti\AppData\Local\Microsoft\Windows\INetCache\Content.MSO\5F9A429C.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p w:rsidR="000A5E90" w:rsidRDefault="00961FC5" w:rsidP="005807E0">
      <w:pPr>
        <w:spacing w:before="80"/>
        <w:rPr>
          <w:rFonts w:ascii="Arial" w:eastAsia="Times New Roman" w:hAnsi="Arial" w:cs="Arial"/>
          <w:sz w:val="24"/>
          <w:lang w:eastAsia="en-US"/>
        </w:rPr>
      </w:pPr>
      <w:r w:rsidRPr="00970A41">
        <w:rPr>
          <w:rFonts w:ascii="Arial" w:eastAsia="Times New Roman" w:hAnsi="Arial" w:cs="Arial"/>
          <w:b/>
          <w:color w:val="FFC000"/>
          <w:sz w:val="24"/>
          <w:lang w:eastAsia="en-US"/>
        </w:rPr>
        <w:t>Antimicrobial stewardship</w:t>
      </w:r>
      <w:r w:rsidRPr="00961FC5">
        <w:rPr>
          <w:rFonts w:ascii="Arial" w:eastAsia="Times New Roman" w:hAnsi="Arial" w:cs="Arial"/>
          <w:sz w:val="24"/>
          <w:lang w:eastAsia="en-US"/>
        </w:rPr>
        <w:t xml:space="preserve"> involves making sure antibiotics are used wisely. </w:t>
      </w:r>
      <w:r w:rsidR="000A5E90">
        <w:rPr>
          <w:rFonts w:ascii="Arial" w:eastAsia="Times New Roman" w:hAnsi="Arial" w:cs="Arial"/>
          <w:sz w:val="24"/>
          <w:lang w:eastAsia="en-US"/>
        </w:rPr>
        <w:t xml:space="preserve">National Safety &amp; Quality Health Service </w:t>
      </w:r>
      <w:r w:rsidR="000A5E90" w:rsidRPr="000A5E90">
        <w:rPr>
          <w:rFonts w:ascii="Arial" w:eastAsia="Times New Roman" w:hAnsi="Arial" w:cs="Arial"/>
          <w:sz w:val="24"/>
          <w:lang w:eastAsia="en-US"/>
        </w:rPr>
        <w:t>Standard 3</w:t>
      </w:r>
      <w:r w:rsidR="000A5E90" w:rsidRPr="00770D9F">
        <w:rPr>
          <w:rFonts w:ascii="Arial" w:eastAsia="Times New Roman" w:hAnsi="Arial" w:cs="Arial"/>
          <w:b/>
          <w:color w:val="FFC000"/>
          <w:sz w:val="24"/>
          <w:lang w:eastAsia="en-US"/>
        </w:rPr>
        <w:t xml:space="preserve"> Preventing and Controlling Healthcare-Associated Infection</w:t>
      </w:r>
      <w:r w:rsidR="000A5E90">
        <w:rPr>
          <w:rFonts w:ascii="Arial" w:eastAsia="Times New Roman" w:hAnsi="Arial" w:cs="Arial"/>
          <w:b/>
          <w:color w:val="FFC000"/>
          <w:sz w:val="24"/>
          <w:lang w:eastAsia="en-US"/>
        </w:rPr>
        <w:t xml:space="preserve"> </w:t>
      </w:r>
      <w:r w:rsidR="000A5E90" w:rsidRPr="00961FC5">
        <w:rPr>
          <w:rFonts w:ascii="Arial" w:eastAsia="Times New Roman" w:hAnsi="Arial" w:cs="Arial"/>
          <w:sz w:val="24"/>
          <w:lang w:eastAsia="en-US"/>
        </w:rPr>
        <w:t xml:space="preserve">requires that all health service </w:t>
      </w:r>
      <w:proofErr w:type="spellStart"/>
      <w:r w:rsidR="000A5E90" w:rsidRPr="00961FC5">
        <w:rPr>
          <w:rFonts w:ascii="Arial" w:eastAsia="Times New Roman" w:hAnsi="Arial" w:cs="Arial"/>
          <w:sz w:val="24"/>
          <w:lang w:eastAsia="en-US"/>
        </w:rPr>
        <w:t>organisations</w:t>
      </w:r>
      <w:proofErr w:type="spellEnd"/>
      <w:r w:rsidR="000A5E90" w:rsidRPr="00961FC5">
        <w:rPr>
          <w:rFonts w:ascii="Arial" w:eastAsia="Times New Roman" w:hAnsi="Arial" w:cs="Arial"/>
          <w:sz w:val="24"/>
          <w:lang w:eastAsia="en-US"/>
        </w:rPr>
        <w:t xml:space="preserve"> have an antimicrobial stewardship (AMS) program in place.</w:t>
      </w:r>
      <w:r w:rsidR="000A5E90" w:rsidRPr="000A5E90">
        <w:t xml:space="preserve"> </w:t>
      </w:r>
      <w:r w:rsidR="000A5E90">
        <w:rPr>
          <w:rFonts w:ascii="Arial" w:eastAsia="Times New Roman" w:hAnsi="Arial" w:cs="Arial"/>
          <w:sz w:val="24"/>
          <w:lang w:eastAsia="en-US"/>
        </w:rPr>
        <w:t xml:space="preserve">To demonstrate </w:t>
      </w:r>
      <w:r w:rsidR="000A5E90" w:rsidRPr="000A5E90">
        <w:rPr>
          <w:rFonts w:ascii="Arial" w:eastAsia="Times New Roman" w:hAnsi="Arial" w:cs="Arial"/>
          <w:sz w:val="24"/>
          <w:lang w:eastAsia="en-US"/>
        </w:rPr>
        <w:t xml:space="preserve">the requirement is met, </w:t>
      </w:r>
      <w:proofErr w:type="spellStart"/>
      <w:r w:rsidR="000A5E90">
        <w:rPr>
          <w:rFonts w:ascii="Arial" w:eastAsia="Times New Roman" w:hAnsi="Arial" w:cs="Arial"/>
          <w:sz w:val="24"/>
          <w:lang w:eastAsia="en-US"/>
        </w:rPr>
        <w:t>Wolper</w:t>
      </w:r>
      <w:proofErr w:type="spellEnd"/>
      <w:r w:rsidR="000A5E90" w:rsidRPr="000A5E90">
        <w:rPr>
          <w:rFonts w:ascii="Arial" w:eastAsia="Times New Roman" w:hAnsi="Arial" w:cs="Arial"/>
          <w:sz w:val="24"/>
          <w:lang w:eastAsia="en-US"/>
        </w:rPr>
        <w:t xml:space="preserve"> monitor</w:t>
      </w:r>
      <w:r w:rsidR="000A5E90">
        <w:rPr>
          <w:rFonts w:ascii="Arial" w:eastAsia="Times New Roman" w:hAnsi="Arial" w:cs="Arial"/>
          <w:sz w:val="24"/>
          <w:lang w:eastAsia="en-US"/>
        </w:rPr>
        <w:t xml:space="preserve">s </w:t>
      </w:r>
      <w:r w:rsidR="000A5E90" w:rsidRPr="000A5E90">
        <w:rPr>
          <w:rFonts w:ascii="Arial" w:eastAsia="Times New Roman" w:hAnsi="Arial" w:cs="Arial"/>
          <w:sz w:val="24"/>
          <w:lang w:eastAsia="en-US"/>
        </w:rPr>
        <w:t>antimicrobial usage and</w:t>
      </w:r>
      <w:r w:rsidR="0040044D">
        <w:rPr>
          <w:rFonts w:ascii="Arial" w:eastAsia="Times New Roman" w:hAnsi="Arial" w:cs="Arial"/>
          <w:sz w:val="24"/>
          <w:lang w:eastAsia="en-US"/>
        </w:rPr>
        <w:t xml:space="preserve"> appropriateness of prescribing and reports the results to the </w:t>
      </w:r>
      <w:proofErr w:type="spellStart"/>
      <w:r w:rsidR="0040044D">
        <w:rPr>
          <w:rFonts w:ascii="Arial" w:eastAsia="Times New Roman" w:hAnsi="Arial" w:cs="Arial"/>
          <w:sz w:val="24"/>
          <w:lang w:eastAsia="en-US"/>
        </w:rPr>
        <w:t>Wolper</w:t>
      </w:r>
      <w:proofErr w:type="spellEnd"/>
      <w:r w:rsidR="0040044D">
        <w:rPr>
          <w:rFonts w:ascii="Arial" w:eastAsia="Times New Roman" w:hAnsi="Arial" w:cs="Arial"/>
          <w:sz w:val="24"/>
          <w:lang w:eastAsia="en-US"/>
        </w:rPr>
        <w:t xml:space="preserve"> Medical Advisory Committee and the </w:t>
      </w:r>
      <w:proofErr w:type="spellStart"/>
      <w:r w:rsidR="0040044D">
        <w:rPr>
          <w:rFonts w:ascii="Arial" w:eastAsia="Times New Roman" w:hAnsi="Arial" w:cs="Arial"/>
          <w:sz w:val="24"/>
          <w:lang w:eastAsia="en-US"/>
        </w:rPr>
        <w:t>Wolper</w:t>
      </w:r>
      <w:proofErr w:type="spellEnd"/>
      <w:r w:rsidR="0040044D">
        <w:rPr>
          <w:rFonts w:ascii="Arial" w:eastAsia="Times New Roman" w:hAnsi="Arial" w:cs="Arial"/>
          <w:sz w:val="24"/>
          <w:lang w:eastAsia="en-US"/>
        </w:rPr>
        <w:t xml:space="preserve"> Board of Directors. </w:t>
      </w:r>
    </w:p>
    <w:p w:rsidR="0040044D" w:rsidRDefault="0040044D" w:rsidP="000A5E90">
      <w:pPr>
        <w:spacing w:before="120"/>
        <w:rPr>
          <w:rFonts w:ascii="Arial" w:eastAsia="Times New Roman" w:hAnsi="Arial" w:cs="Arial"/>
          <w:sz w:val="24"/>
          <w:lang w:eastAsia="en-US"/>
        </w:rPr>
      </w:pPr>
      <w:r>
        <w:rPr>
          <w:rFonts w:ascii="Arial" w:eastAsia="Times New Roman" w:hAnsi="Arial" w:cs="Arial"/>
          <w:sz w:val="24"/>
          <w:lang w:eastAsia="en-US"/>
        </w:rPr>
        <w:t>In the most recent Antimicrobial Audit June-July 2019, 60 patients received antibiotics with the following results:</w:t>
      </w:r>
    </w:p>
    <w:tbl>
      <w:tblPr>
        <w:tblW w:w="8647" w:type="dxa"/>
        <w:tblLook w:val="04A0" w:firstRow="1" w:lastRow="0" w:firstColumn="1" w:lastColumn="0" w:noHBand="0" w:noVBand="1"/>
      </w:tblPr>
      <w:tblGrid>
        <w:gridCol w:w="7159"/>
        <w:gridCol w:w="222"/>
        <w:gridCol w:w="557"/>
        <w:gridCol w:w="709"/>
      </w:tblGrid>
      <w:tr w:rsidR="0040044D" w:rsidRPr="0040044D" w:rsidTr="00A21055">
        <w:trPr>
          <w:trHeight w:val="320"/>
        </w:trPr>
        <w:tc>
          <w:tcPr>
            <w:tcW w:w="7381" w:type="dxa"/>
            <w:gridSpan w:val="2"/>
            <w:tcBorders>
              <w:top w:val="nil"/>
              <w:left w:val="nil"/>
              <w:bottom w:val="nil"/>
              <w:right w:val="nil"/>
            </w:tcBorders>
            <w:shd w:val="clear" w:color="auto" w:fill="auto"/>
            <w:noWrap/>
            <w:vAlign w:val="bottom"/>
            <w:hideMark/>
          </w:tcPr>
          <w:p w:rsidR="0040044D" w:rsidRPr="0040044D" w:rsidRDefault="0040044D" w:rsidP="0040044D">
            <w:pPr>
              <w:rPr>
                <w:rFonts w:ascii="Arial" w:eastAsia="Times New Roman" w:hAnsi="Arial" w:cs="Arial"/>
                <w:sz w:val="24"/>
                <w:lang w:val="en-AU" w:eastAsia="en-AU"/>
              </w:rPr>
            </w:pPr>
            <w:r w:rsidRPr="0040044D">
              <w:rPr>
                <w:rFonts w:ascii="Arial" w:eastAsia="Times New Roman" w:hAnsi="Arial" w:cs="Arial"/>
                <w:sz w:val="24"/>
                <w:lang w:val="en-AU" w:eastAsia="en-AU"/>
              </w:rPr>
              <w:t>Indication for antibiotic written on Medication Chart</w:t>
            </w:r>
          </w:p>
        </w:tc>
        <w:tc>
          <w:tcPr>
            <w:tcW w:w="557" w:type="dxa"/>
            <w:tcBorders>
              <w:top w:val="nil"/>
              <w:left w:val="nil"/>
              <w:bottom w:val="nil"/>
              <w:right w:val="nil"/>
            </w:tcBorders>
            <w:shd w:val="clear" w:color="auto" w:fill="auto"/>
            <w:noWrap/>
            <w:vAlign w:val="bottom"/>
            <w:hideMark/>
          </w:tcPr>
          <w:p w:rsidR="0040044D" w:rsidRPr="0040044D" w:rsidRDefault="0040044D" w:rsidP="0040044D">
            <w:pPr>
              <w:rPr>
                <w:rFonts w:ascii="Arial" w:eastAsia="Times New Roman" w:hAnsi="Arial" w:cs="Arial"/>
                <w:sz w:val="24"/>
                <w:lang w:val="en-AU" w:eastAsia="en-AU"/>
              </w:rPr>
            </w:pPr>
          </w:p>
        </w:tc>
        <w:tc>
          <w:tcPr>
            <w:tcW w:w="709" w:type="dxa"/>
            <w:tcBorders>
              <w:top w:val="nil"/>
              <w:left w:val="nil"/>
              <w:bottom w:val="nil"/>
              <w:right w:val="nil"/>
            </w:tcBorders>
            <w:shd w:val="clear" w:color="auto" w:fill="auto"/>
            <w:noWrap/>
            <w:vAlign w:val="bottom"/>
            <w:hideMark/>
          </w:tcPr>
          <w:p w:rsidR="0040044D" w:rsidRPr="0040044D" w:rsidRDefault="0040044D" w:rsidP="00A21055">
            <w:pPr>
              <w:rPr>
                <w:rFonts w:ascii="Arial" w:eastAsia="Times New Roman" w:hAnsi="Arial" w:cs="Arial"/>
                <w:sz w:val="24"/>
                <w:lang w:val="en-AU" w:eastAsia="en-AU"/>
              </w:rPr>
            </w:pPr>
            <w:r w:rsidRPr="0040044D">
              <w:rPr>
                <w:rFonts w:ascii="Arial" w:eastAsia="Times New Roman" w:hAnsi="Arial" w:cs="Arial"/>
                <w:sz w:val="24"/>
                <w:lang w:val="en-AU" w:eastAsia="en-AU"/>
              </w:rPr>
              <w:t>40%</w:t>
            </w:r>
          </w:p>
        </w:tc>
      </w:tr>
      <w:tr w:rsidR="0040044D" w:rsidRPr="0040044D" w:rsidTr="00A21055">
        <w:trPr>
          <w:trHeight w:val="297"/>
        </w:trPr>
        <w:tc>
          <w:tcPr>
            <w:tcW w:w="7381" w:type="dxa"/>
            <w:gridSpan w:val="2"/>
            <w:tcBorders>
              <w:top w:val="nil"/>
              <w:left w:val="nil"/>
              <w:bottom w:val="nil"/>
              <w:right w:val="nil"/>
            </w:tcBorders>
            <w:shd w:val="clear" w:color="auto" w:fill="auto"/>
            <w:noWrap/>
            <w:vAlign w:val="bottom"/>
            <w:hideMark/>
          </w:tcPr>
          <w:p w:rsidR="0040044D" w:rsidRPr="0040044D" w:rsidRDefault="0040044D" w:rsidP="0040044D">
            <w:pPr>
              <w:rPr>
                <w:rFonts w:ascii="Arial" w:eastAsia="Times New Roman" w:hAnsi="Arial" w:cs="Arial"/>
                <w:sz w:val="24"/>
                <w:lang w:val="en-AU" w:eastAsia="en-AU"/>
              </w:rPr>
            </w:pPr>
            <w:r w:rsidRPr="0040044D">
              <w:rPr>
                <w:rFonts w:ascii="Arial" w:eastAsia="Times New Roman" w:hAnsi="Arial" w:cs="Arial"/>
                <w:sz w:val="24"/>
                <w:lang w:val="en-AU" w:eastAsia="en-AU"/>
              </w:rPr>
              <w:t>Duration of treatment of antibiotic written on Medication Chart</w:t>
            </w:r>
          </w:p>
        </w:tc>
        <w:tc>
          <w:tcPr>
            <w:tcW w:w="557" w:type="dxa"/>
            <w:tcBorders>
              <w:top w:val="nil"/>
              <w:left w:val="nil"/>
              <w:bottom w:val="nil"/>
              <w:right w:val="nil"/>
            </w:tcBorders>
            <w:shd w:val="clear" w:color="auto" w:fill="auto"/>
            <w:noWrap/>
            <w:vAlign w:val="bottom"/>
            <w:hideMark/>
          </w:tcPr>
          <w:p w:rsidR="0040044D" w:rsidRPr="0040044D" w:rsidRDefault="0040044D" w:rsidP="0040044D">
            <w:pPr>
              <w:rPr>
                <w:rFonts w:ascii="Arial" w:eastAsia="Times New Roman" w:hAnsi="Arial" w:cs="Arial"/>
                <w:sz w:val="24"/>
                <w:lang w:val="en-AU" w:eastAsia="en-AU"/>
              </w:rPr>
            </w:pPr>
          </w:p>
        </w:tc>
        <w:tc>
          <w:tcPr>
            <w:tcW w:w="709" w:type="dxa"/>
            <w:tcBorders>
              <w:top w:val="nil"/>
              <w:left w:val="nil"/>
              <w:bottom w:val="nil"/>
              <w:right w:val="nil"/>
            </w:tcBorders>
            <w:shd w:val="clear" w:color="auto" w:fill="auto"/>
            <w:noWrap/>
            <w:vAlign w:val="bottom"/>
            <w:hideMark/>
          </w:tcPr>
          <w:p w:rsidR="0040044D" w:rsidRPr="0040044D" w:rsidRDefault="0040044D" w:rsidP="0040044D">
            <w:pPr>
              <w:jc w:val="center"/>
              <w:rPr>
                <w:rFonts w:ascii="Arial" w:eastAsia="Times New Roman" w:hAnsi="Arial" w:cs="Arial"/>
                <w:sz w:val="24"/>
                <w:lang w:val="en-AU" w:eastAsia="en-AU"/>
              </w:rPr>
            </w:pPr>
            <w:r w:rsidRPr="0040044D">
              <w:rPr>
                <w:rFonts w:ascii="Arial" w:eastAsia="Times New Roman" w:hAnsi="Arial" w:cs="Arial"/>
                <w:sz w:val="24"/>
                <w:lang w:val="en-AU" w:eastAsia="en-AU"/>
              </w:rPr>
              <w:t>43%</w:t>
            </w:r>
          </w:p>
        </w:tc>
      </w:tr>
      <w:tr w:rsidR="0040044D" w:rsidRPr="0040044D" w:rsidTr="00A21055">
        <w:trPr>
          <w:trHeight w:val="272"/>
        </w:trPr>
        <w:tc>
          <w:tcPr>
            <w:tcW w:w="7381" w:type="dxa"/>
            <w:gridSpan w:val="2"/>
            <w:tcBorders>
              <w:top w:val="nil"/>
              <w:left w:val="nil"/>
              <w:bottom w:val="nil"/>
              <w:right w:val="nil"/>
            </w:tcBorders>
            <w:shd w:val="clear" w:color="auto" w:fill="auto"/>
            <w:noWrap/>
            <w:vAlign w:val="bottom"/>
            <w:hideMark/>
          </w:tcPr>
          <w:p w:rsidR="0040044D" w:rsidRPr="0040044D" w:rsidRDefault="0040044D" w:rsidP="0040044D">
            <w:pPr>
              <w:rPr>
                <w:rFonts w:ascii="Arial" w:eastAsia="Times New Roman" w:hAnsi="Arial" w:cs="Arial"/>
                <w:sz w:val="24"/>
                <w:lang w:val="en-AU" w:eastAsia="en-AU"/>
              </w:rPr>
            </w:pPr>
            <w:r w:rsidRPr="0040044D">
              <w:rPr>
                <w:rFonts w:ascii="Arial" w:eastAsia="Times New Roman" w:hAnsi="Arial" w:cs="Arial"/>
                <w:sz w:val="24"/>
                <w:lang w:val="en-AU" w:eastAsia="en-AU"/>
              </w:rPr>
              <w:t>Duration of administra</w:t>
            </w:r>
            <w:r w:rsidR="00F70785">
              <w:rPr>
                <w:rFonts w:ascii="Arial" w:eastAsia="Times New Roman" w:hAnsi="Arial" w:cs="Arial"/>
                <w:sz w:val="24"/>
                <w:lang w:val="en-AU" w:eastAsia="en-AU"/>
              </w:rPr>
              <w:t>tion complies with Therapeutic G</w:t>
            </w:r>
            <w:r w:rsidRPr="0040044D">
              <w:rPr>
                <w:rFonts w:ascii="Arial" w:eastAsia="Times New Roman" w:hAnsi="Arial" w:cs="Arial"/>
                <w:sz w:val="24"/>
                <w:lang w:val="en-AU" w:eastAsia="en-AU"/>
              </w:rPr>
              <w:t>uidelines</w:t>
            </w:r>
          </w:p>
        </w:tc>
        <w:tc>
          <w:tcPr>
            <w:tcW w:w="557" w:type="dxa"/>
            <w:tcBorders>
              <w:top w:val="nil"/>
              <w:left w:val="nil"/>
              <w:bottom w:val="nil"/>
              <w:right w:val="nil"/>
            </w:tcBorders>
            <w:shd w:val="clear" w:color="auto" w:fill="auto"/>
            <w:noWrap/>
            <w:vAlign w:val="bottom"/>
            <w:hideMark/>
          </w:tcPr>
          <w:p w:rsidR="0040044D" w:rsidRPr="0040044D" w:rsidRDefault="0040044D" w:rsidP="0040044D">
            <w:pPr>
              <w:rPr>
                <w:rFonts w:ascii="Arial" w:eastAsia="Times New Roman" w:hAnsi="Arial" w:cs="Arial"/>
                <w:sz w:val="24"/>
                <w:lang w:val="en-AU" w:eastAsia="en-AU"/>
              </w:rPr>
            </w:pPr>
          </w:p>
        </w:tc>
        <w:tc>
          <w:tcPr>
            <w:tcW w:w="709" w:type="dxa"/>
            <w:tcBorders>
              <w:top w:val="nil"/>
              <w:left w:val="nil"/>
              <w:bottom w:val="nil"/>
              <w:right w:val="nil"/>
            </w:tcBorders>
            <w:shd w:val="clear" w:color="auto" w:fill="auto"/>
            <w:noWrap/>
            <w:vAlign w:val="bottom"/>
            <w:hideMark/>
          </w:tcPr>
          <w:p w:rsidR="0040044D" w:rsidRPr="0040044D" w:rsidRDefault="0040044D" w:rsidP="0040044D">
            <w:pPr>
              <w:jc w:val="center"/>
              <w:rPr>
                <w:rFonts w:ascii="Arial" w:eastAsia="Times New Roman" w:hAnsi="Arial" w:cs="Arial"/>
                <w:sz w:val="24"/>
                <w:lang w:val="en-AU" w:eastAsia="en-AU"/>
              </w:rPr>
            </w:pPr>
            <w:r w:rsidRPr="0040044D">
              <w:rPr>
                <w:rFonts w:ascii="Arial" w:eastAsia="Times New Roman" w:hAnsi="Arial" w:cs="Arial"/>
                <w:sz w:val="24"/>
                <w:lang w:val="en-AU" w:eastAsia="en-AU"/>
              </w:rPr>
              <w:t>67%</w:t>
            </w:r>
          </w:p>
        </w:tc>
      </w:tr>
      <w:tr w:rsidR="0040044D" w:rsidRPr="0040044D" w:rsidTr="00A21055">
        <w:trPr>
          <w:trHeight w:val="276"/>
        </w:trPr>
        <w:tc>
          <w:tcPr>
            <w:tcW w:w="7159" w:type="dxa"/>
            <w:tcBorders>
              <w:top w:val="nil"/>
              <w:left w:val="nil"/>
              <w:bottom w:val="nil"/>
              <w:right w:val="nil"/>
            </w:tcBorders>
            <w:shd w:val="clear" w:color="auto" w:fill="auto"/>
            <w:noWrap/>
            <w:vAlign w:val="bottom"/>
            <w:hideMark/>
          </w:tcPr>
          <w:p w:rsidR="0040044D" w:rsidRPr="0040044D" w:rsidRDefault="0040044D" w:rsidP="0040044D">
            <w:pPr>
              <w:rPr>
                <w:rFonts w:ascii="Arial" w:eastAsia="Times New Roman" w:hAnsi="Arial" w:cs="Arial"/>
                <w:sz w:val="24"/>
                <w:lang w:val="en-AU" w:eastAsia="en-AU"/>
              </w:rPr>
            </w:pPr>
            <w:r w:rsidRPr="0040044D">
              <w:rPr>
                <w:rFonts w:ascii="Arial" w:eastAsia="Times New Roman" w:hAnsi="Arial" w:cs="Arial"/>
                <w:sz w:val="24"/>
                <w:lang w:val="en-AU" w:eastAsia="en-AU"/>
              </w:rPr>
              <w:t>Microbiology supported the prescription</w:t>
            </w:r>
          </w:p>
        </w:tc>
        <w:tc>
          <w:tcPr>
            <w:tcW w:w="222" w:type="dxa"/>
            <w:tcBorders>
              <w:top w:val="nil"/>
              <w:left w:val="nil"/>
              <w:bottom w:val="nil"/>
              <w:right w:val="nil"/>
            </w:tcBorders>
            <w:shd w:val="clear" w:color="auto" w:fill="auto"/>
            <w:noWrap/>
            <w:vAlign w:val="bottom"/>
            <w:hideMark/>
          </w:tcPr>
          <w:p w:rsidR="0040044D" w:rsidRPr="0040044D" w:rsidRDefault="0040044D" w:rsidP="0040044D">
            <w:pPr>
              <w:rPr>
                <w:rFonts w:ascii="Arial" w:eastAsia="Times New Roman" w:hAnsi="Arial" w:cs="Arial"/>
                <w:sz w:val="24"/>
                <w:lang w:val="en-AU" w:eastAsia="en-AU"/>
              </w:rPr>
            </w:pPr>
          </w:p>
        </w:tc>
        <w:tc>
          <w:tcPr>
            <w:tcW w:w="557" w:type="dxa"/>
            <w:tcBorders>
              <w:top w:val="nil"/>
              <w:left w:val="nil"/>
              <w:bottom w:val="nil"/>
              <w:right w:val="nil"/>
            </w:tcBorders>
            <w:shd w:val="clear" w:color="auto" w:fill="auto"/>
            <w:noWrap/>
            <w:vAlign w:val="bottom"/>
            <w:hideMark/>
          </w:tcPr>
          <w:p w:rsidR="0040044D" w:rsidRPr="0040044D" w:rsidRDefault="0040044D" w:rsidP="0040044D">
            <w:pPr>
              <w:jc w:val="center"/>
              <w:rPr>
                <w:rFonts w:ascii="Times New Roman" w:eastAsia="Times New Roman" w:hAnsi="Times New Roman"/>
                <w:szCs w:val="20"/>
                <w:lang w:val="en-AU" w:eastAsia="en-AU"/>
              </w:rPr>
            </w:pPr>
          </w:p>
        </w:tc>
        <w:tc>
          <w:tcPr>
            <w:tcW w:w="709" w:type="dxa"/>
            <w:tcBorders>
              <w:top w:val="nil"/>
              <w:left w:val="nil"/>
              <w:bottom w:val="nil"/>
              <w:right w:val="nil"/>
            </w:tcBorders>
            <w:shd w:val="clear" w:color="auto" w:fill="auto"/>
            <w:noWrap/>
            <w:vAlign w:val="bottom"/>
            <w:hideMark/>
          </w:tcPr>
          <w:p w:rsidR="0040044D" w:rsidRPr="0040044D" w:rsidRDefault="0040044D" w:rsidP="0040044D">
            <w:pPr>
              <w:jc w:val="center"/>
              <w:rPr>
                <w:rFonts w:ascii="Arial" w:eastAsia="Times New Roman" w:hAnsi="Arial" w:cs="Arial"/>
                <w:sz w:val="24"/>
                <w:lang w:val="en-AU" w:eastAsia="en-AU"/>
              </w:rPr>
            </w:pPr>
            <w:r w:rsidRPr="0040044D">
              <w:rPr>
                <w:rFonts w:ascii="Arial" w:eastAsia="Times New Roman" w:hAnsi="Arial" w:cs="Arial"/>
                <w:sz w:val="24"/>
                <w:lang w:val="en-AU" w:eastAsia="en-AU"/>
              </w:rPr>
              <w:t>43%</w:t>
            </w:r>
          </w:p>
        </w:tc>
      </w:tr>
    </w:tbl>
    <w:p w:rsidR="001B41E0" w:rsidRPr="001B41E0" w:rsidRDefault="001B41E0" w:rsidP="005807E0">
      <w:pPr>
        <w:spacing w:before="80"/>
        <w:rPr>
          <w:rFonts w:ascii="Arial" w:hAnsi="Arial" w:cs="Arial"/>
          <w:b/>
          <w:sz w:val="28"/>
          <w:szCs w:val="28"/>
        </w:rPr>
      </w:pPr>
      <w:r w:rsidRPr="001B41E0">
        <w:rPr>
          <w:rFonts w:ascii="Arial" w:hAnsi="Arial" w:cs="Arial"/>
          <w:b/>
          <w:sz w:val="28"/>
          <w:szCs w:val="28"/>
        </w:rPr>
        <w:t xml:space="preserve">CONSUMER </w:t>
      </w:r>
      <w:r w:rsidR="00B60CF1">
        <w:rPr>
          <w:rFonts w:ascii="Arial" w:hAnsi="Arial" w:cs="Arial"/>
          <w:b/>
          <w:sz w:val="28"/>
          <w:szCs w:val="28"/>
        </w:rPr>
        <w:t>PARTICIPATION</w:t>
      </w:r>
      <w:r w:rsidR="006B7683">
        <w:rPr>
          <w:rFonts w:ascii="Arial" w:hAnsi="Arial" w:cs="Arial"/>
          <w:b/>
          <w:sz w:val="28"/>
          <w:szCs w:val="28"/>
        </w:rPr>
        <w:t xml:space="preserve">  </w:t>
      </w:r>
      <w:r w:rsidR="006B7683">
        <w:rPr>
          <w:rFonts w:ascii="Arial" w:hAnsi="Arial" w:cs="Arial"/>
          <w:b/>
          <w:noProof/>
          <w:sz w:val="28"/>
          <w:szCs w:val="28"/>
          <w:lang w:val="en-AU" w:eastAsia="en-AU"/>
        </w:rPr>
        <w:drawing>
          <wp:inline distT="0" distB="0" distL="0" distR="0" wp14:anchorId="435AE971" wp14:editId="7A39A5D1">
            <wp:extent cx="276225" cy="276225"/>
            <wp:effectExtent l="0" t="0" r="9525" b="9525"/>
            <wp:docPr id="9" name="Picture 9" descr="C:\Users\EmilyPezzotti\AppData\Local\Microsoft\Windows\INetCache\Content.MSO\570C9C1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milyPezzotti\AppData\Local\Microsoft\Windows\INetCache\Content.MSO\570C9C11.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p w:rsidR="005738AA" w:rsidRPr="006B7683" w:rsidRDefault="005738AA" w:rsidP="005807E0">
      <w:pPr>
        <w:spacing w:before="80"/>
        <w:rPr>
          <w:rFonts w:ascii="Arial" w:hAnsi="Arial" w:cs="Arial"/>
          <w:b/>
          <w:sz w:val="28"/>
          <w:szCs w:val="28"/>
          <w:u w:val="single"/>
        </w:rPr>
      </w:pPr>
      <w:r w:rsidRPr="006B7683">
        <w:rPr>
          <w:rFonts w:ascii="Arial" w:hAnsi="Arial" w:cs="Arial"/>
          <w:b/>
          <w:color w:val="00B0F0"/>
          <w:sz w:val="28"/>
          <w:szCs w:val="28"/>
          <w:u w:val="single"/>
        </w:rPr>
        <w:t>Healthcare Rights</w:t>
      </w:r>
    </w:p>
    <w:p w:rsidR="002B37D4" w:rsidRPr="00A21055" w:rsidRDefault="005738AA" w:rsidP="002B37D4">
      <w:pPr>
        <w:spacing w:before="60"/>
        <w:rPr>
          <w:rFonts w:ascii="Arial" w:hAnsi="Arial" w:cs="Arial"/>
          <w:b/>
          <w:sz w:val="24"/>
        </w:rPr>
      </w:pPr>
      <w:r>
        <w:rPr>
          <w:rFonts w:ascii="Arial" w:hAnsi="Arial" w:cs="Arial"/>
          <w:sz w:val="24"/>
        </w:rPr>
        <w:t xml:space="preserve">The second edition of the </w:t>
      </w:r>
      <w:r w:rsidRPr="00352E7C">
        <w:rPr>
          <w:rFonts w:ascii="Arial" w:hAnsi="Arial" w:cs="Arial"/>
          <w:b/>
          <w:color w:val="00B0F0"/>
          <w:sz w:val="24"/>
        </w:rPr>
        <w:t>Australian Charter of Healthcare Rights</w:t>
      </w:r>
      <w:r w:rsidRPr="00352E7C">
        <w:rPr>
          <w:rFonts w:ascii="Arial" w:hAnsi="Arial" w:cs="Arial"/>
          <w:color w:val="00B0F0"/>
          <w:sz w:val="24"/>
        </w:rPr>
        <w:t xml:space="preserve"> </w:t>
      </w:r>
      <w:r>
        <w:rPr>
          <w:rFonts w:ascii="Arial" w:hAnsi="Arial" w:cs="Arial"/>
          <w:sz w:val="24"/>
        </w:rPr>
        <w:t>was released in August.</w:t>
      </w:r>
      <w:r w:rsidRPr="005738AA">
        <w:rPr>
          <w:rFonts w:ascii="Arial" w:hAnsi="Arial" w:cs="Arial"/>
          <w:sz w:val="24"/>
        </w:rPr>
        <w:t xml:space="preserve"> It reflects an increased focus on person-</w:t>
      </w:r>
      <w:proofErr w:type="spellStart"/>
      <w:r w:rsidRPr="005738AA">
        <w:rPr>
          <w:rFonts w:ascii="Arial" w:hAnsi="Arial" w:cs="Arial"/>
          <w:sz w:val="24"/>
        </w:rPr>
        <w:t>centred</w:t>
      </w:r>
      <w:proofErr w:type="spellEnd"/>
      <w:r w:rsidRPr="005738AA">
        <w:rPr>
          <w:rFonts w:ascii="Arial" w:hAnsi="Arial" w:cs="Arial"/>
          <w:sz w:val="24"/>
        </w:rPr>
        <w:t xml:space="preserve"> care and empowers consumers to take an active role in their healthcare.</w:t>
      </w:r>
      <w:r w:rsidR="002B37D4" w:rsidRPr="002B37D4">
        <w:t xml:space="preserve"> </w:t>
      </w:r>
      <w:r w:rsidR="002B37D4" w:rsidRPr="002B37D4">
        <w:rPr>
          <w:rFonts w:ascii="Arial" w:hAnsi="Arial" w:cs="Arial"/>
          <w:sz w:val="24"/>
        </w:rPr>
        <w:t>The Charter describes what you, or someone you care for, can expect when receiving health care.</w:t>
      </w:r>
      <w:r w:rsidR="002B37D4">
        <w:rPr>
          <w:rFonts w:ascii="Arial" w:hAnsi="Arial" w:cs="Arial"/>
          <w:sz w:val="24"/>
        </w:rPr>
        <w:t xml:space="preserve">  </w:t>
      </w:r>
      <w:r w:rsidR="002B37D4" w:rsidRPr="00352E7C">
        <w:rPr>
          <w:rFonts w:ascii="Arial" w:hAnsi="Arial" w:cs="Arial"/>
          <w:b/>
          <w:color w:val="00B0F0"/>
          <w:sz w:val="24"/>
        </w:rPr>
        <w:t>Access, Safety</w:t>
      </w:r>
      <w:r w:rsidR="00352E7C" w:rsidRPr="00352E7C">
        <w:rPr>
          <w:rFonts w:ascii="Arial" w:hAnsi="Arial" w:cs="Arial"/>
          <w:b/>
          <w:color w:val="00B0F0"/>
          <w:sz w:val="24"/>
        </w:rPr>
        <w:t xml:space="preserve">, </w:t>
      </w:r>
      <w:r w:rsidR="002B37D4" w:rsidRPr="00352E7C">
        <w:rPr>
          <w:rFonts w:ascii="Arial" w:hAnsi="Arial" w:cs="Arial"/>
          <w:b/>
          <w:color w:val="00B0F0"/>
          <w:sz w:val="24"/>
        </w:rPr>
        <w:t>Respect</w:t>
      </w:r>
      <w:r w:rsidR="00352E7C" w:rsidRPr="00352E7C">
        <w:rPr>
          <w:rFonts w:ascii="Arial" w:hAnsi="Arial" w:cs="Arial"/>
          <w:b/>
          <w:color w:val="00B0F0"/>
          <w:sz w:val="24"/>
        </w:rPr>
        <w:t xml:space="preserve">, </w:t>
      </w:r>
      <w:r w:rsidR="002B37D4" w:rsidRPr="00352E7C">
        <w:rPr>
          <w:rFonts w:ascii="Arial" w:hAnsi="Arial" w:cs="Arial"/>
          <w:b/>
          <w:color w:val="00B0F0"/>
          <w:sz w:val="24"/>
        </w:rPr>
        <w:t>Partnership</w:t>
      </w:r>
      <w:r w:rsidR="00352E7C" w:rsidRPr="00352E7C">
        <w:rPr>
          <w:rFonts w:ascii="Arial" w:hAnsi="Arial" w:cs="Arial"/>
          <w:b/>
          <w:color w:val="00B0F0"/>
          <w:sz w:val="24"/>
        </w:rPr>
        <w:t>,</w:t>
      </w:r>
      <w:r w:rsidR="00352E7C" w:rsidRPr="00352E7C">
        <w:rPr>
          <w:rFonts w:ascii="Arial" w:hAnsi="Arial" w:cs="Arial"/>
          <w:color w:val="00B0F0"/>
          <w:sz w:val="24"/>
        </w:rPr>
        <w:t xml:space="preserve"> </w:t>
      </w:r>
      <w:r w:rsidR="002B37D4" w:rsidRPr="00352E7C">
        <w:rPr>
          <w:rFonts w:ascii="Arial" w:hAnsi="Arial" w:cs="Arial"/>
          <w:b/>
          <w:color w:val="00B0F0"/>
          <w:sz w:val="24"/>
        </w:rPr>
        <w:t>Information</w:t>
      </w:r>
      <w:r w:rsidR="00352E7C" w:rsidRPr="00352E7C">
        <w:rPr>
          <w:rFonts w:ascii="Arial" w:hAnsi="Arial" w:cs="Arial"/>
          <w:b/>
          <w:color w:val="00B0F0"/>
          <w:sz w:val="24"/>
        </w:rPr>
        <w:t xml:space="preserve">, </w:t>
      </w:r>
      <w:r w:rsidR="002B37D4" w:rsidRPr="00352E7C">
        <w:rPr>
          <w:rFonts w:ascii="Arial" w:hAnsi="Arial" w:cs="Arial"/>
          <w:b/>
          <w:color w:val="00B0F0"/>
          <w:sz w:val="24"/>
        </w:rPr>
        <w:t>Privacy</w:t>
      </w:r>
      <w:r w:rsidR="00352E7C" w:rsidRPr="00352E7C">
        <w:rPr>
          <w:rFonts w:ascii="Arial" w:hAnsi="Arial" w:cs="Arial"/>
          <w:b/>
          <w:color w:val="00B0F0"/>
          <w:sz w:val="24"/>
        </w:rPr>
        <w:t xml:space="preserve"> and to </w:t>
      </w:r>
      <w:r w:rsidR="002B37D4" w:rsidRPr="00352E7C">
        <w:rPr>
          <w:rFonts w:ascii="Arial" w:hAnsi="Arial" w:cs="Arial"/>
          <w:b/>
          <w:color w:val="00B0F0"/>
          <w:sz w:val="24"/>
        </w:rPr>
        <w:t>Give Feedback</w:t>
      </w:r>
      <w:r w:rsidR="00352E7C">
        <w:rPr>
          <w:rFonts w:ascii="Arial" w:hAnsi="Arial" w:cs="Arial"/>
          <w:sz w:val="24"/>
        </w:rPr>
        <w:t>. Find</w:t>
      </w:r>
      <w:r w:rsidR="00970A41">
        <w:rPr>
          <w:rFonts w:ascii="Arial" w:hAnsi="Arial" w:cs="Arial"/>
          <w:sz w:val="24"/>
        </w:rPr>
        <w:t xml:space="preserve"> out</w:t>
      </w:r>
      <w:r w:rsidR="00352E7C">
        <w:rPr>
          <w:rFonts w:ascii="Arial" w:hAnsi="Arial" w:cs="Arial"/>
          <w:sz w:val="24"/>
        </w:rPr>
        <w:t xml:space="preserve"> more </w:t>
      </w:r>
      <w:r w:rsidR="00970A41">
        <w:rPr>
          <w:rFonts w:ascii="Arial" w:hAnsi="Arial" w:cs="Arial"/>
          <w:sz w:val="24"/>
        </w:rPr>
        <w:t>at</w:t>
      </w:r>
      <w:r w:rsidR="00352E7C" w:rsidRPr="00A21055">
        <w:rPr>
          <w:rFonts w:ascii="Arial" w:hAnsi="Arial" w:cs="Arial"/>
          <w:color w:val="00B0F0"/>
          <w:sz w:val="24"/>
        </w:rPr>
        <w:t xml:space="preserve"> </w:t>
      </w:r>
      <w:hyperlink r:id="rId10" w:history="1">
        <w:r w:rsidR="00352E7C" w:rsidRPr="00970A41">
          <w:rPr>
            <w:rStyle w:val="Hyperlink"/>
            <w:rFonts w:ascii="Arial" w:hAnsi="Arial" w:cs="Arial"/>
            <w:color w:val="00B0F0"/>
            <w:sz w:val="24"/>
          </w:rPr>
          <w:t>www.wolper.com.au</w:t>
        </w:r>
      </w:hyperlink>
    </w:p>
    <w:p w:rsidR="00352E7C" w:rsidRPr="006B7683" w:rsidRDefault="00352E7C" w:rsidP="0087350D">
      <w:pPr>
        <w:spacing w:before="120"/>
        <w:rPr>
          <w:rFonts w:ascii="Arial" w:hAnsi="Arial" w:cs="Arial"/>
          <w:b/>
          <w:color w:val="009999"/>
          <w:sz w:val="28"/>
          <w:szCs w:val="28"/>
          <w:u w:val="single"/>
        </w:rPr>
      </w:pPr>
      <w:r w:rsidRPr="006B7683">
        <w:rPr>
          <w:rFonts w:ascii="Arial" w:hAnsi="Arial" w:cs="Arial"/>
          <w:b/>
          <w:color w:val="009999"/>
          <w:sz w:val="28"/>
          <w:szCs w:val="28"/>
          <w:u w:val="single"/>
        </w:rPr>
        <w:t>Health Literacy</w:t>
      </w:r>
    </w:p>
    <w:p w:rsidR="00A21055" w:rsidRDefault="00352E7C" w:rsidP="005807E0">
      <w:pPr>
        <w:spacing w:before="60"/>
        <w:ind w:right="-142"/>
        <w:rPr>
          <w:rFonts w:ascii="Arial" w:hAnsi="Arial" w:cs="Arial"/>
          <w:sz w:val="24"/>
        </w:rPr>
      </w:pPr>
      <w:r w:rsidRPr="00352E7C">
        <w:rPr>
          <w:rFonts w:ascii="Arial" w:hAnsi="Arial" w:cs="Arial"/>
          <w:sz w:val="24"/>
        </w:rPr>
        <w:t xml:space="preserve">Health </w:t>
      </w:r>
      <w:r w:rsidR="00AC009A">
        <w:rPr>
          <w:rFonts w:ascii="Arial" w:hAnsi="Arial" w:cs="Arial"/>
          <w:sz w:val="24"/>
        </w:rPr>
        <w:t>L</w:t>
      </w:r>
      <w:r w:rsidRPr="00352E7C">
        <w:rPr>
          <w:rFonts w:ascii="Arial" w:hAnsi="Arial" w:cs="Arial"/>
          <w:sz w:val="24"/>
        </w:rPr>
        <w:t xml:space="preserve">iteracy plays an important role in enabling effective partnerships. For partnerships to work, everyone involved needs to be able to interpret and act on information. </w:t>
      </w:r>
      <w:r w:rsidRPr="00AC009A">
        <w:rPr>
          <w:rFonts w:ascii="Arial" w:hAnsi="Arial" w:cs="Arial"/>
          <w:b/>
          <w:color w:val="009999"/>
          <w:sz w:val="24"/>
        </w:rPr>
        <w:t xml:space="preserve">Health literacy is about how people understand information about health and health care, and how they apply that information to their lives, use it to make decisions and act on it. </w:t>
      </w:r>
      <w:r w:rsidRPr="00352E7C">
        <w:rPr>
          <w:rFonts w:ascii="Arial" w:hAnsi="Arial" w:cs="Arial"/>
          <w:sz w:val="24"/>
        </w:rPr>
        <w:t>Health literacy is important because it shape</w:t>
      </w:r>
      <w:r w:rsidR="00970A41">
        <w:rPr>
          <w:rFonts w:ascii="Arial" w:hAnsi="Arial" w:cs="Arial"/>
          <w:sz w:val="24"/>
        </w:rPr>
        <w:t>s people’s health safety and</w:t>
      </w:r>
      <w:r w:rsidRPr="00352E7C">
        <w:rPr>
          <w:rFonts w:ascii="Arial" w:hAnsi="Arial" w:cs="Arial"/>
          <w:sz w:val="24"/>
        </w:rPr>
        <w:t xml:space="preserve"> quality</w:t>
      </w:r>
      <w:r w:rsidR="00AC009A">
        <w:rPr>
          <w:rFonts w:ascii="Arial" w:hAnsi="Arial" w:cs="Arial"/>
          <w:sz w:val="24"/>
        </w:rPr>
        <w:t xml:space="preserve">. </w:t>
      </w:r>
    </w:p>
    <w:p w:rsidR="00352E7C" w:rsidRPr="004A62B9" w:rsidRDefault="00AC009A" w:rsidP="00AC009A">
      <w:pPr>
        <w:spacing w:before="60"/>
        <w:rPr>
          <w:rFonts w:ascii="Arial" w:hAnsi="Arial" w:cs="Arial"/>
          <w:sz w:val="24"/>
        </w:rPr>
      </w:pPr>
      <w:r>
        <w:rPr>
          <w:rFonts w:ascii="Arial" w:hAnsi="Arial" w:cs="Arial"/>
          <w:sz w:val="24"/>
        </w:rPr>
        <w:t xml:space="preserve">See our website for more information and for tips on accessing safe healthcare. </w:t>
      </w:r>
      <w:r w:rsidRPr="00AC009A">
        <w:rPr>
          <w:rFonts w:ascii="Arial" w:hAnsi="Arial" w:cs="Arial"/>
          <w:b/>
          <w:color w:val="009999"/>
          <w:sz w:val="24"/>
        </w:rPr>
        <w:t>“Top Tops for Safe Health Care”.</w:t>
      </w:r>
      <w:r>
        <w:rPr>
          <w:rFonts w:ascii="Arial" w:hAnsi="Arial" w:cs="Arial"/>
          <w:b/>
          <w:color w:val="009999"/>
          <w:sz w:val="24"/>
        </w:rPr>
        <w:t xml:space="preserve">  </w:t>
      </w:r>
      <w:r w:rsidRPr="004A62B9">
        <w:rPr>
          <w:rFonts w:ascii="Arial" w:hAnsi="Arial" w:cs="Arial"/>
          <w:sz w:val="24"/>
        </w:rPr>
        <w:t>These booklets are also available in the Patient Lounges.</w:t>
      </w:r>
    </w:p>
    <w:p w:rsidR="00D0606A" w:rsidRPr="00D0606A" w:rsidRDefault="001464B3" w:rsidP="004A62B9">
      <w:pPr>
        <w:spacing w:before="120"/>
        <w:rPr>
          <w:rFonts w:ascii="Arial" w:hAnsi="Arial" w:cs="Arial"/>
          <w:b/>
          <w:sz w:val="28"/>
          <w:szCs w:val="28"/>
        </w:rPr>
      </w:pPr>
      <w:r>
        <w:rPr>
          <w:rFonts w:ascii="Arial" w:hAnsi="Arial" w:cs="Arial"/>
          <w:b/>
          <w:sz w:val="28"/>
          <w:szCs w:val="28"/>
        </w:rPr>
        <w:t xml:space="preserve">SAFETY &amp; </w:t>
      </w:r>
      <w:r w:rsidR="00D0606A" w:rsidRPr="00D0606A">
        <w:rPr>
          <w:rFonts w:ascii="Arial" w:hAnsi="Arial" w:cs="Arial"/>
          <w:b/>
          <w:sz w:val="28"/>
          <w:szCs w:val="28"/>
        </w:rPr>
        <w:t>QUALITY PROGRAM</w:t>
      </w:r>
    </w:p>
    <w:p w:rsidR="006B7683" w:rsidRPr="006B7683" w:rsidRDefault="006B7683" w:rsidP="00AD72DC">
      <w:pPr>
        <w:spacing w:before="40"/>
        <w:rPr>
          <w:rFonts w:ascii="Arial" w:hAnsi="Arial" w:cs="Arial"/>
          <w:b/>
          <w:color w:val="92D050"/>
          <w:sz w:val="28"/>
          <w:szCs w:val="28"/>
          <w:u w:val="single"/>
        </w:rPr>
      </w:pPr>
      <w:r w:rsidRPr="006B7683">
        <w:rPr>
          <w:rFonts w:ascii="Arial" w:hAnsi="Arial" w:cs="Arial"/>
          <w:b/>
          <w:color w:val="92D050"/>
          <w:sz w:val="28"/>
          <w:szCs w:val="28"/>
          <w:u w:val="single"/>
        </w:rPr>
        <w:t>Medication Safety</w:t>
      </w:r>
      <w:r w:rsidRPr="006B7683">
        <w:rPr>
          <w:rFonts w:ascii="Arial" w:hAnsi="Arial" w:cs="Arial"/>
          <w:b/>
          <w:color w:val="92D050"/>
          <w:sz w:val="28"/>
          <w:szCs w:val="28"/>
        </w:rPr>
        <w:t xml:space="preserve">  </w:t>
      </w:r>
      <w:r w:rsidRPr="006B7683">
        <w:rPr>
          <w:rFonts w:ascii="Arial" w:hAnsi="Arial" w:cs="Arial"/>
          <w:b/>
          <w:noProof/>
          <w:color w:val="92D050"/>
          <w:sz w:val="28"/>
          <w:szCs w:val="28"/>
          <w:lang w:val="en-AU" w:eastAsia="en-AU"/>
        </w:rPr>
        <w:drawing>
          <wp:inline distT="0" distB="0" distL="0" distR="0" wp14:anchorId="6B6476BE" wp14:editId="170C2347">
            <wp:extent cx="257175" cy="257175"/>
            <wp:effectExtent l="0" t="0" r="9525" b="9525"/>
            <wp:docPr id="7" name="Picture 7" descr="C:\Users\EmilyPezzotti\AppData\Local\Microsoft\Windows\INetCache\Content.MSO\EA5B1E0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milyPezzotti\AppData\Local\Microsoft\Windows\INetCache\Content.MSO\EA5B1E0F.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V="1">
                      <a:off x="0" y="0"/>
                      <a:ext cx="257175" cy="257175"/>
                    </a:xfrm>
                    <a:prstGeom prst="rect">
                      <a:avLst/>
                    </a:prstGeom>
                    <a:noFill/>
                    <a:ln>
                      <a:noFill/>
                    </a:ln>
                  </pic:spPr>
                </pic:pic>
              </a:graphicData>
            </a:graphic>
          </wp:inline>
        </w:drawing>
      </w:r>
    </w:p>
    <w:p w:rsidR="00D0606A" w:rsidRPr="00373C2F" w:rsidRDefault="00DC4D4A" w:rsidP="00970A41">
      <w:pPr>
        <w:spacing w:before="80"/>
        <w:rPr>
          <w:rFonts w:ascii="Arial" w:hAnsi="Arial" w:cs="Arial"/>
          <w:b/>
          <w:sz w:val="24"/>
        </w:rPr>
      </w:pPr>
      <w:r w:rsidRPr="00373C2F">
        <w:rPr>
          <w:rFonts w:ascii="Arial" w:hAnsi="Arial" w:cs="Arial"/>
          <w:b/>
          <w:sz w:val="24"/>
        </w:rPr>
        <w:t>Medication Management</w:t>
      </w:r>
      <w:r w:rsidR="0087350D">
        <w:rPr>
          <w:rFonts w:ascii="Arial" w:hAnsi="Arial" w:cs="Arial"/>
          <w:b/>
          <w:sz w:val="24"/>
        </w:rPr>
        <w:t xml:space="preserve"> Outcomes</w:t>
      </w:r>
    </w:p>
    <w:p w:rsidR="00B6219B" w:rsidRDefault="00373C2F" w:rsidP="00B6219B">
      <w:pPr>
        <w:rPr>
          <w:rFonts w:ascii="Arial" w:hAnsi="Arial" w:cs="Arial"/>
          <w:sz w:val="24"/>
        </w:rPr>
      </w:pPr>
      <w:r>
        <w:rPr>
          <w:rFonts w:ascii="Arial" w:hAnsi="Arial" w:cs="Arial"/>
          <w:sz w:val="24"/>
        </w:rPr>
        <w:t>Medication Incidents are regularly reviewed by the Quality &amp; Risk</w:t>
      </w:r>
      <w:r w:rsidR="00E934B6">
        <w:rPr>
          <w:rFonts w:ascii="Arial" w:hAnsi="Arial" w:cs="Arial"/>
          <w:sz w:val="24"/>
        </w:rPr>
        <w:t xml:space="preserve">, </w:t>
      </w:r>
      <w:r>
        <w:rPr>
          <w:rFonts w:ascii="Arial" w:hAnsi="Arial" w:cs="Arial"/>
          <w:sz w:val="24"/>
        </w:rPr>
        <w:t xml:space="preserve">Clinical Care </w:t>
      </w:r>
      <w:r w:rsidR="00E934B6">
        <w:rPr>
          <w:rFonts w:ascii="Arial" w:hAnsi="Arial" w:cs="Arial"/>
          <w:sz w:val="24"/>
        </w:rPr>
        <w:t>and</w:t>
      </w:r>
      <w:r>
        <w:rPr>
          <w:rFonts w:ascii="Arial" w:hAnsi="Arial" w:cs="Arial"/>
          <w:sz w:val="24"/>
        </w:rPr>
        <w:t xml:space="preserve"> Medical Advisory Committee</w:t>
      </w:r>
      <w:r w:rsidR="00E934B6">
        <w:rPr>
          <w:rFonts w:ascii="Arial" w:hAnsi="Arial" w:cs="Arial"/>
          <w:sz w:val="24"/>
        </w:rPr>
        <w:t>s</w:t>
      </w:r>
      <w:r>
        <w:rPr>
          <w:rFonts w:ascii="Arial" w:hAnsi="Arial" w:cs="Arial"/>
          <w:sz w:val="24"/>
        </w:rPr>
        <w:t xml:space="preserve"> </w:t>
      </w:r>
      <w:r w:rsidR="00E934B6">
        <w:rPr>
          <w:rFonts w:ascii="Arial" w:hAnsi="Arial" w:cs="Arial"/>
          <w:sz w:val="24"/>
        </w:rPr>
        <w:t>and</w:t>
      </w:r>
      <w:r>
        <w:rPr>
          <w:rFonts w:ascii="Arial" w:hAnsi="Arial" w:cs="Arial"/>
          <w:sz w:val="24"/>
        </w:rPr>
        <w:t xml:space="preserve"> reported to the </w:t>
      </w:r>
      <w:proofErr w:type="spellStart"/>
      <w:r>
        <w:rPr>
          <w:rFonts w:ascii="Arial" w:hAnsi="Arial" w:cs="Arial"/>
          <w:sz w:val="24"/>
        </w:rPr>
        <w:t>Wolper</w:t>
      </w:r>
      <w:proofErr w:type="spellEnd"/>
      <w:r>
        <w:rPr>
          <w:rFonts w:ascii="Arial" w:hAnsi="Arial" w:cs="Arial"/>
          <w:sz w:val="24"/>
        </w:rPr>
        <w:t xml:space="preserve"> Board</w:t>
      </w:r>
      <w:r w:rsidR="00E934B6">
        <w:rPr>
          <w:rFonts w:ascii="Arial" w:hAnsi="Arial" w:cs="Arial"/>
          <w:sz w:val="24"/>
        </w:rPr>
        <w:t xml:space="preserve"> via the </w:t>
      </w:r>
      <w:r w:rsidR="00E934B6" w:rsidRPr="00E934B6">
        <w:rPr>
          <w:rFonts w:ascii="Arial" w:hAnsi="Arial" w:cs="Arial"/>
          <w:b/>
          <w:sz w:val="24"/>
        </w:rPr>
        <w:t>Quarterly</w:t>
      </w:r>
      <w:r w:rsidR="00E934B6">
        <w:rPr>
          <w:rFonts w:ascii="Arial" w:hAnsi="Arial" w:cs="Arial"/>
          <w:sz w:val="24"/>
        </w:rPr>
        <w:t xml:space="preserve"> </w:t>
      </w:r>
      <w:r w:rsidR="00E934B6" w:rsidRPr="00E934B6">
        <w:rPr>
          <w:rFonts w:ascii="Arial" w:hAnsi="Arial" w:cs="Arial"/>
          <w:b/>
          <w:sz w:val="24"/>
        </w:rPr>
        <w:t>Safety and Quality Report</w:t>
      </w:r>
      <w:r>
        <w:rPr>
          <w:rFonts w:ascii="Arial" w:hAnsi="Arial" w:cs="Arial"/>
          <w:sz w:val="24"/>
        </w:rPr>
        <w:t>.</w:t>
      </w:r>
      <w:r w:rsidR="0087350D">
        <w:rPr>
          <w:rFonts w:ascii="Arial" w:hAnsi="Arial" w:cs="Arial"/>
          <w:sz w:val="24"/>
        </w:rPr>
        <w:t xml:space="preserve"> </w:t>
      </w:r>
    </w:p>
    <w:p w:rsidR="00B6219B" w:rsidRPr="00B6219B" w:rsidRDefault="00B6219B" w:rsidP="00B6219B">
      <w:pPr>
        <w:rPr>
          <w:rFonts w:ascii="Arial" w:hAnsi="Arial" w:cs="Arial"/>
          <w:b/>
          <w:sz w:val="24"/>
        </w:rPr>
      </w:pPr>
      <w:r>
        <w:rPr>
          <w:rFonts w:ascii="Arial" w:hAnsi="Arial" w:cs="Arial"/>
          <w:sz w:val="24"/>
        </w:rPr>
        <w:t xml:space="preserve">Incidents requiring </w:t>
      </w:r>
      <w:r w:rsidRPr="00C179A4">
        <w:rPr>
          <w:rFonts w:ascii="Arial" w:hAnsi="Arial" w:cs="Arial"/>
          <w:b/>
          <w:color w:val="0066CC"/>
          <w:sz w:val="26"/>
          <w:szCs w:val="26"/>
          <w:u w:val="single"/>
        </w:rPr>
        <w:t>Open</w:t>
      </w:r>
      <w:bookmarkStart w:id="0" w:name="_GoBack"/>
      <w:bookmarkEnd w:id="0"/>
      <w:r w:rsidRPr="00C179A4">
        <w:rPr>
          <w:rFonts w:ascii="Arial" w:hAnsi="Arial" w:cs="Arial"/>
          <w:b/>
          <w:color w:val="0066CC"/>
          <w:sz w:val="26"/>
          <w:szCs w:val="26"/>
          <w:u w:val="single"/>
        </w:rPr>
        <w:t xml:space="preserve"> Disclosure</w:t>
      </w:r>
      <w:r w:rsidRPr="005807E0">
        <w:rPr>
          <w:rFonts w:ascii="Arial" w:hAnsi="Arial" w:cs="Arial"/>
          <w:color w:val="0070C0"/>
          <w:sz w:val="24"/>
        </w:rPr>
        <w:t xml:space="preserve"> </w:t>
      </w:r>
      <w:r>
        <w:rPr>
          <w:rFonts w:ascii="Arial" w:hAnsi="Arial" w:cs="Arial"/>
          <w:noProof/>
          <w:color w:val="0070C0"/>
          <w:sz w:val="24"/>
          <w:lang w:val="en-AU" w:eastAsia="en-AU"/>
        </w:rPr>
        <w:drawing>
          <wp:inline distT="0" distB="0" distL="0" distR="0" wp14:anchorId="6E179A09" wp14:editId="1A7D42EF">
            <wp:extent cx="276225" cy="276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pic:spPr>
                </pic:pic>
              </a:graphicData>
            </a:graphic>
          </wp:inline>
        </w:drawing>
      </w:r>
      <w:r>
        <w:rPr>
          <w:rFonts w:ascii="Arial" w:hAnsi="Arial" w:cs="Arial"/>
          <w:color w:val="0070C0"/>
          <w:sz w:val="24"/>
        </w:rPr>
        <w:t xml:space="preserve"> </w:t>
      </w:r>
      <w:r>
        <w:rPr>
          <w:rFonts w:ascii="Arial" w:hAnsi="Arial" w:cs="Arial"/>
          <w:sz w:val="24"/>
        </w:rPr>
        <w:t>are also included in this report.</w:t>
      </w:r>
      <w:r w:rsidRPr="005807E0">
        <w:t xml:space="preserve"> </w:t>
      </w:r>
      <w:r w:rsidRPr="005807E0">
        <w:rPr>
          <w:rFonts w:ascii="Arial" w:hAnsi="Arial" w:cs="Arial"/>
          <w:sz w:val="24"/>
        </w:rPr>
        <w:t xml:space="preserve">Open disclosure is the </w:t>
      </w:r>
      <w:r w:rsidRPr="005807E0">
        <w:rPr>
          <w:rFonts w:ascii="Arial" w:hAnsi="Arial" w:cs="Arial"/>
          <w:b/>
          <w:color w:val="0070C0"/>
          <w:sz w:val="24"/>
        </w:rPr>
        <w:t>“open discussion of an incident that results in harm (or might result in future harm) to a patient while receiving health care”</w:t>
      </w:r>
      <w:r>
        <w:rPr>
          <w:rFonts w:ascii="Arial" w:hAnsi="Arial" w:cs="Arial"/>
          <w:b/>
          <w:color w:val="0070C0"/>
          <w:sz w:val="24"/>
        </w:rPr>
        <w:t>.</w:t>
      </w:r>
      <w:r w:rsidRPr="005807E0">
        <w:rPr>
          <w:rFonts w:ascii="Arial" w:hAnsi="Arial" w:cs="Arial"/>
          <w:b/>
          <w:color w:val="0070C0"/>
          <w:sz w:val="24"/>
        </w:rPr>
        <w:t xml:space="preserve">  </w:t>
      </w:r>
    </w:p>
    <w:p w:rsidR="00B6219B" w:rsidRDefault="00B6219B" w:rsidP="00B6219B">
      <w:pPr>
        <w:rPr>
          <w:rFonts w:ascii="Arial" w:hAnsi="Arial" w:cs="Arial"/>
          <w:sz w:val="24"/>
        </w:rPr>
      </w:pPr>
      <w:r>
        <w:rPr>
          <w:rFonts w:ascii="Arial" w:hAnsi="Arial" w:cs="Arial"/>
          <w:sz w:val="24"/>
        </w:rPr>
        <w:t xml:space="preserve">Recent </w:t>
      </w:r>
      <w:r w:rsidRPr="00E934B6">
        <w:rPr>
          <w:rFonts w:ascii="Arial" w:hAnsi="Arial" w:cs="Arial"/>
          <w:sz w:val="24"/>
        </w:rPr>
        <w:t>Private Hospital Benchmarking</w:t>
      </w:r>
      <w:r>
        <w:rPr>
          <w:rFonts w:ascii="Arial" w:hAnsi="Arial" w:cs="Arial"/>
          <w:sz w:val="24"/>
        </w:rPr>
        <w:t xml:space="preserve"> Group</w:t>
      </w:r>
      <w:r w:rsidRPr="00E934B6">
        <w:rPr>
          <w:rFonts w:ascii="Arial" w:hAnsi="Arial" w:cs="Arial"/>
          <w:sz w:val="24"/>
        </w:rPr>
        <w:t xml:space="preserve"> </w:t>
      </w:r>
      <w:r>
        <w:rPr>
          <w:rFonts w:ascii="Arial" w:hAnsi="Arial" w:cs="Arial"/>
          <w:sz w:val="24"/>
        </w:rPr>
        <w:t>Medication Audit results are as follows:</w:t>
      </w:r>
    </w:p>
    <w:p w:rsidR="00B6219B" w:rsidRDefault="00B6219B" w:rsidP="00B6219B">
      <w:pPr>
        <w:spacing w:before="40"/>
        <w:rPr>
          <w:rFonts w:ascii="Arial" w:hAnsi="Arial" w:cs="Arial"/>
          <w:sz w:val="24"/>
        </w:rPr>
      </w:pPr>
      <w:r>
        <w:rPr>
          <w:rFonts w:ascii="Arial" w:hAnsi="Arial" w:cs="Arial"/>
          <w:sz w:val="24"/>
        </w:rPr>
        <w:t xml:space="preserve">Medication Documentation </w:t>
      </w:r>
      <w:r>
        <w:rPr>
          <w:rFonts w:ascii="Arial" w:hAnsi="Arial" w:cs="Arial"/>
          <w:sz w:val="24"/>
        </w:rPr>
        <w:tab/>
      </w:r>
      <w:proofErr w:type="spellStart"/>
      <w:r>
        <w:rPr>
          <w:rFonts w:ascii="Arial" w:hAnsi="Arial" w:cs="Arial"/>
          <w:sz w:val="24"/>
        </w:rPr>
        <w:t>Wolper</w:t>
      </w:r>
      <w:proofErr w:type="spellEnd"/>
      <w:r>
        <w:rPr>
          <w:rFonts w:ascii="Arial" w:hAnsi="Arial" w:cs="Arial"/>
          <w:sz w:val="24"/>
        </w:rPr>
        <w:t xml:space="preserve"> 87%    </w:t>
      </w:r>
      <w:r>
        <w:rPr>
          <w:rFonts w:ascii="Arial" w:hAnsi="Arial" w:cs="Arial"/>
          <w:sz w:val="24"/>
        </w:rPr>
        <w:tab/>
        <w:t>Benchmark Group Average 88%</w:t>
      </w:r>
    </w:p>
    <w:p w:rsidR="00AD72DC" w:rsidRDefault="00B6219B" w:rsidP="00B6219B">
      <w:pPr>
        <w:spacing w:before="40"/>
        <w:rPr>
          <w:rFonts w:ascii="Arial" w:hAnsi="Arial" w:cs="Arial"/>
          <w:sz w:val="24"/>
        </w:rPr>
      </w:pPr>
      <w:r>
        <w:rPr>
          <w:rFonts w:ascii="Arial" w:hAnsi="Arial" w:cs="Arial"/>
          <w:sz w:val="24"/>
        </w:rPr>
        <w:t xml:space="preserve">Medication Management </w:t>
      </w:r>
      <w:r>
        <w:rPr>
          <w:rFonts w:ascii="Arial" w:hAnsi="Arial" w:cs="Arial"/>
          <w:sz w:val="24"/>
        </w:rPr>
        <w:tab/>
      </w:r>
      <w:r>
        <w:rPr>
          <w:rFonts w:ascii="Arial" w:hAnsi="Arial" w:cs="Arial"/>
          <w:sz w:val="24"/>
        </w:rPr>
        <w:tab/>
      </w:r>
      <w:proofErr w:type="spellStart"/>
      <w:r>
        <w:rPr>
          <w:rFonts w:ascii="Arial" w:hAnsi="Arial" w:cs="Arial"/>
          <w:sz w:val="24"/>
        </w:rPr>
        <w:t>Wolper</w:t>
      </w:r>
      <w:proofErr w:type="spellEnd"/>
      <w:r>
        <w:rPr>
          <w:rFonts w:ascii="Arial" w:hAnsi="Arial" w:cs="Arial"/>
          <w:sz w:val="24"/>
        </w:rPr>
        <w:t xml:space="preserve"> 95%  </w:t>
      </w:r>
      <w:r>
        <w:rPr>
          <w:rFonts w:ascii="Arial" w:hAnsi="Arial" w:cs="Arial"/>
          <w:sz w:val="24"/>
        </w:rPr>
        <w:tab/>
        <w:t>Benchmark Group Average 94%</w:t>
      </w:r>
    </w:p>
    <w:p w:rsidR="00393656" w:rsidRDefault="00393656" w:rsidP="005807E0">
      <w:pPr>
        <w:rPr>
          <w:rFonts w:ascii="Arial" w:hAnsi="Arial" w:cs="Arial"/>
          <w:sz w:val="24"/>
        </w:rPr>
      </w:pPr>
    </w:p>
    <w:sectPr w:rsidR="00393656" w:rsidSect="00AD72DC">
      <w:headerReference w:type="default" r:id="rId13"/>
      <w:footerReference w:type="default" r:id="rId14"/>
      <w:pgSz w:w="11907" w:h="16840" w:code="9"/>
      <w:pgMar w:top="333" w:right="992" w:bottom="851" w:left="1134"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BEC" w:rsidRDefault="00AD1BEC">
      <w:r>
        <w:separator/>
      </w:r>
    </w:p>
  </w:endnote>
  <w:endnote w:type="continuationSeparator" w:id="0">
    <w:p w:rsidR="00AD1BEC" w:rsidRDefault="00AD1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otham Book">
    <w:altName w:val="Gotham 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B1F" w:rsidRPr="00933633" w:rsidRDefault="003B504F" w:rsidP="00891B5A">
    <w:pPr>
      <w:pStyle w:val="Footer"/>
      <w:pBdr>
        <w:top w:val="single" w:sz="4" w:space="0" w:color="auto"/>
      </w:pBdr>
      <w:tabs>
        <w:tab w:val="clear" w:pos="4320"/>
        <w:tab w:val="clear" w:pos="8640"/>
        <w:tab w:val="center" w:pos="4962"/>
        <w:tab w:val="right" w:pos="9639"/>
      </w:tabs>
      <w:rPr>
        <w:rFonts w:ascii="Arial" w:hAnsi="Arial" w:cs="Arial"/>
        <w:sz w:val="18"/>
        <w:szCs w:val="18"/>
      </w:rPr>
    </w:pPr>
    <w:r w:rsidRPr="00933633">
      <w:rPr>
        <w:rStyle w:val="PageNumber"/>
        <w:rFonts w:ascii="Arial" w:hAnsi="Arial" w:cs="Arial"/>
        <w:i/>
        <w:sz w:val="18"/>
        <w:szCs w:val="18"/>
      </w:rPr>
      <w:tab/>
    </w:r>
    <w:r w:rsidR="002C5B1F" w:rsidRPr="00933633">
      <w:rPr>
        <w:rFonts w:ascii="Arial" w:hAnsi="Arial" w:cs="Arial"/>
        <w:sz w:val="18"/>
        <w:szCs w:val="18"/>
      </w:rPr>
      <w:t xml:space="preserve">Page </w:t>
    </w:r>
    <w:r w:rsidR="002C5B1F" w:rsidRPr="00933633">
      <w:rPr>
        <w:rStyle w:val="PageNumber"/>
        <w:rFonts w:ascii="Arial" w:hAnsi="Arial" w:cs="Arial"/>
        <w:sz w:val="18"/>
        <w:szCs w:val="18"/>
      </w:rPr>
      <w:fldChar w:fldCharType="begin"/>
    </w:r>
    <w:r w:rsidR="002C5B1F" w:rsidRPr="00933633">
      <w:rPr>
        <w:rStyle w:val="PageNumber"/>
        <w:rFonts w:ascii="Arial" w:hAnsi="Arial" w:cs="Arial"/>
        <w:sz w:val="18"/>
        <w:szCs w:val="18"/>
      </w:rPr>
      <w:instrText xml:space="preserve"> PAGE </w:instrText>
    </w:r>
    <w:r w:rsidR="002C5B1F" w:rsidRPr="00933633">
      <w:rPr>
        <w:rStyle w:val="PageNumber"/>
        <w:rFonts w:ascii="Arial" w:hAnsi="Arial" w:cs="Arial"/>
        <w:sz w:val="18"/>
        <w:szCs w:val="18"/>
      </w:rPr>
      <w:fldChar w:fldCharType="separate"/>
    </w:r>
    <w:r w:rsidR="00C179A4">
      <w:rPr>
        <w:rStyle w:val="PageNumber"/>
        <w:rFonts w:ascii="Arial" w:hAnsi="Arial" w:cs="Arial"/>
        <w:noProof/>
        <w:sz w:val="18"/>
        <w:szCs w:val="18"/>
      </w:rPr>
      <w:t>1</w:t>
    </w:r>
    <w:r w:rsidR="002C5B1F" w:rsidRPr="00933633">
      <w:rPr>
        <w:rStyle w:val="PageNumber"/>
        <w:rFonts w:ascii="Arial" w:hAnsi="Arial" w:cs="Arial"/>
        <w:sz w:val="18"/>
        <w:szCs w:val="18"/>
      </w:rPr>
      <w:fldChar w:fldCharType="end"/>
    </w:r>
    <w:r w:rsidR="002C5B1F" w:rsidRPr="00933633">
      <w:rPr>
        <w:rFonts w:ascii="Arial" w:hAnsi="Arial" w:cs="Arial"/>
        <w:sz w:val="18"/>
        <w:szCs w:val="18"/>
      </w:rPr>
      <w:t xml:space="preserve"> of </w:t>
    </w:r>
    <w:r w:rsidR="002C5B1F" w:rsidRPr="00933633">
      <w:rPr>
        <w:rStyle w:val="PageNumber"/>
        <w:rFonts w:ascii="Arial" w:hAnsi="Arial" w:cs="Arial"/>
        <w:sz w:val="18"/>
        <w:szCs w:val="18"/>
      </w:rPr>
      <w:fldChar w:fldCharType="begin"/>
    </w:r>
    <w:r w:rsidR="002C5B1F" w:rsidRPr="00933633">
      <w:rPr>
        <w:rStyle w:val="PageNumber"/>
        <w:rFonts w:ascii="Arial" w:hAnsi="Arial" w:cs="Arial"/>
        <w:sz w:val="18"/>
        <w:szCs w:val="18"/>
      </w:rPr>
      <w:instrText xml:space="preserve"> NUMPAGES </w:instrText>
    </w:r>
    <w:r w:rsidR="002C5B1F" w:rsidRPr="00933633">
      <w:rPr>
        <w:rStyle w:val="PageNumber"/>
        <w:rFonts w:ascii="Arial" w:hAnsi="Arial" w:cs="Arial"/>
        <w:sz w:val="18"/>
        <w:szCs w:val="18"/>
      </w:rPr>
      <w:fldChar w:fldCharType="separate"/>
    </w:r>
    <w:r w:rsidR="00C179A4">
      <w:rPr>
        <w:rStyle w:val="PageNumber"/>
        <w:rFonts w:ascii="Arial" w:hAnsi="Arial" w:cs="Arial"/>
        <w:noProof/>
        <w:sz w:val="18"/>
        <w:szCs w:val="18"/>
      </w:rPr>
      <w:t>1</w:t>
    </w:r>
    <w:r w:rsidR="002C5B1F" w:rsidRPr="00933633">
      <w:rPr>
        <w:rStyle w:val="PageNumber"/>
        <w:rFonts w:ascii="Arial" w:hAnsi="Arial" w:cs="Arial"/>
        <w:sz w:val="18"/>
        <w:szCs w:val="18"/>
      </w:rPr>
      <w:fldChar w:fldCharType="end"/>
    </w:r>
    <w:r w:rsidRPr="00933633">
      <w:rPr>
        <w:rStyle w:val="PageNumber"/>
        <w:rFonts w:ascii="Arial" w:hAnsi="Arial" w:cs="Arial"/>
        <w:sz w:val="18"/>
        <w:szCs w:val="18"/>
      </w:rPr>
      <w:tab/>
    </w:r>
    <w:r w:rsidR="00B41217">
      <w:rPr>
        <w:rStyle w:val="PageNumber"/>
        <w:rFonts w:ascii="Arial" w:hAnsi="Arial" w:cs="Arial"/>
        <w:sz w:val="18"/>
        <w:szCs w:val="18"/>
      </w:rPr>
      <w:t>Sept</w:t>
    </w:r>
    <w:r w:rsidR="0002365D">
      <w:rPr>
        <w:rStyle w:val="PageNumber"/>
        <w:rFonts w:ascii="Arial" w:hAnsi="Arial" w:cs="Arial"/>
        <w:sz w:val="18"/>
        <w:szCs w:val="18"/>
      </w:rPr>
      <w:t xml:space="preserve"> 201</w:t>
    </w:r>
    <w:r w:rsidR="00762381">
      <w:rPr>
        <w:rStyle w:val="PageNumber"/>
        <w:rFonts w:ascii="Arial" w:hAnsi="Arial" w:cs="Arial"/>
        <w:sz w:val="18"/>
        <w:szCs w:val="18"/>
      </w:rPr>
      <w:t>9</w:t>
    </w:r>
    <w:r w:rsidR="002C5B1F" w:rsidRPr="00933633">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BEC" w:rsidRDefault="00AD1BEC">
      <w:r>
        <w:separator/>
      </w:r>
    </w:p>
  </w:footnote>
  <w:footnote w:type="continuationSeparator" w:id="0">
    <w:p w:rsidR="00AD1BEC" w:rsidRDefault="00AD1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ook w:val="04A0" w:firstRow="1" w:lastRow="0" w:firstColumn="1" w:lastColumn="0" w:noHBand="0" w:noVBand="1"/>
    </w:tblPr>
    <w:tblGrid>
      <w:gridCol w:w="2168"/>
      <w:gridCol w:w="7471"/>
    </w:tblGrid>
    <w:tr w:rsidR="003B504F" w:rsidRPr="0020331F" w:rsidTr="00730452">
      <w:trPr>
        <w:trHeight w:val="1421"/>
      </w:trPr>
      <w:tc>
        <w:tcPr>
          <w:tcW w:w="2168" w:type="dxa"/>
          <w:shd w:val="clear" w:color="auto" w:fill="auto"/>
          <w:vAlign w:val="center"/>
        </w:tcPr>
        <w:p w:rsidR="003B504F" w:rsidRPr="0020331F" w:rsidRDefault="000F7C6F" w:rsidP="0020331F">
          <w:pPr>
            <w:pStyle w:val="Header"/>
            <w:tabs>
              <w:tab w:val="clear" w:pos="4320"/>
              <w:tab w:val="clear" w:pos="8640"/>
              <w:tab w:val="left" w:leader="underscore" w:pos="9300"/>
            </w:tabs>
            <w:rPr>
              <w:sz w:val="16"/>
              <w:szCs w:val="16"/>
            </w:rPr>
          </w:pPr>
          <w:r w:rsidRPr="0020331F">
            <w:rPr>
              <w:noProof/>
              <w:sz w:val="16"/>
              <w:szCs w:val="16"/>
              <w:lang w:val="en-AU" w:eastAsia="en-AU"/>
            </w:rPr>
            <w:drawing>
              <wp:anchor distT="0" distB="0" distL="114300" distR="114300" simplePos="0" relativeHeight="251657728" behindDoc="0" locked="0" layoutInCell="1" allowOverlap="1" wp14:anchorId="2343D4E4" wp14:editId="7C4AF1BC">
                <wp:simplePos x="0" y="0"/>
                <wp:positionH relativeFrom="column">
                  <wp:posOffset>-64770</wp:posOffset>
                </wp:positionH>
                <wp:positionV relativeFrom="paragraph">
                  <wp:posOffset>-861695</wp:posOffset>
                </wp:positionV>
                <wp:extent cx="1049020" cy="1049020"/>
                <wp:effectExtent l="0" t="0" r="0" b="0"/>
                <wp:wrapSquare wrapText="bothSides"/>
                <wp:docPr id="2" name="Picture 2" descr="Wolper_logo_RGB_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lper_logo_RGB_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9020" cy="10490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471" w:type="dxa"/>
          <w:shd w:val="clear" w:color="auto" w:fill="auto"/>
          <w:vAlign w:val="center"/>
        </w:tcPr>
        <w:p w:rsidR="003B504F" w:rsidRDefault="00C5280B" w:rsidP="00C5280B">
          <w:pPr>
            <w:pStyle w:val="Header"/>
            <w:tabs>
              <w:tab w:val="clear" w:pos="4320"/>
              <w:tab w:val="clear" w:pos="8640"/>
              <w:tab w:val="left" w:leader="underscore" w:pos="9300"/>
            </w:tabs>
            <w:spacing w:after="120"/>
            <w:rPr>
              <w:rFonts w:ascii="Calibri" w:hAnsi="Calibri" w:cs="Arial"/>
              <w:b/>
              <w:sz w:val="36"/>
              <w:szCs w:val="36"/>
            </w:rPr>
          </w:pPr>
          <w:r>
            <w:rPr>
              <w:rFonts w:ascii="Calibri" w:hAnsi="Calibri" w:cs="Arial"/>
              <w:b/>
              <w:sz w:val="36"/>
              <w:szCs w:val="36"/>
            </w:rPr>
            <w:t xml:space="preserve">     </w:t>
          </w:r>
          <w:r w:rsidR="00F40A6D">
            <w:rPr>
              <w:rFonts w:ascii="Calibri" w:hAnsi="Calibri" w:cs="Arial"/>
              <w:b/>
              <w:sz w:val="36"/>
              <w:szCs w:val="36"/>
            </w:rPr>
            <w:t xml:space="preserve">CONSUMER </w:t>
          </w:r>
          <w:r w:rsidR="00F1538A" w:rsidRPr="00F40A6D">
            <w:rPr>
              <w:rFonts w:ascii="Calibri" w:hAnsi="Calibri" w:cs="Arial"/>
              <w:b/>
              <w:sz w:val="36"/>
              <w:szCs w:val="36"/>
            </w:rPr>
            <w:t xml:space="preserve">SAFETY AND </w:t>
          </w:r>
          <w:r w:rsidR="00BE1C9E" w:rsidRPr="00F40A6D">
            <w:rPr>
              <w:rFonts w:ascii="Calibri" w:hAnsi="Calibri" w:cs="Arial"/>
              <w:b/>
              <w:sz w:val="36"/>
              <w:szCs w:val="36"/>
            </w:rPr>
            <w:t>QUALITY</w:t>
          </w:r>
          <w:r w:rsidR="00F40A6D">
            <w:rPr>
              <w:rFonts w:ascii="Calibri" w:hAnsi="Calibri" w:cs="Arial"/>
              <w:b/>
              <w:sz w:val="36"/>
              <w:szCs w:val="36"/>
            </w:rPr>
            <w:t xml:space="preserve"> </w:t>
          </w:r>
          <w:r w:rsidR="00F1538A" w:rsidRPr="00F40A6D">
            <w:rPr>
              <w:rFonts w:ascii="Calibri" w:hAnsi="Calibri" w:cs="Arial"/>
              <w:b/>
              <w:sz w:val="36"/>
              <w:szCs w:val="36"/>
            </w:rPr>
            <w:t>PERFORMANCE REPORT</w:t>
          </w:r>
          <w:r w:rsidR="0063506F">
            <w:rPr>
              <w:rFonts w:ascii="Calibri" w:hAnsi="Calibri" w:cs="Arial"/>
              <w:b/>
              <w:sz w:val="36"/>
              <w:szCs w:val="36"/>
            </w:rPr>
            <w:t xml:space="preserve"> </w:t>
          </w:r>
          <w:r w:rsidR="00961FC5">
            <w:rPr>
              <w:rFonts w:ascii="Calibri" w:hAnsi="Calibri" w:cs="Arial"/>
              <w:b/>
              <w:sz w:val="36"/>
              <w:szCs w:val="36"/>
            </w:rPr>
            <w:t>SEPTEMBER</w:t>
          </w:r>
          <w:r w:rsidR="0002365D">
            <w:rPr>
              <w:rFonts w:ascii="Calibri" w:hAnsi="Calibri" w:cs="Arial"/>
              <w:b/>
              <w:sz w:val="36"/>
              <w:szCs w:val="36"/>
            </w:rPr>
            <w:t xml:space="preserve"> 201</w:t>
          </w:r>
          <w:r w:rsidR="00762381">
            <w:rPr>
              <w:rFonts w:ascii="Calibri" w:hAnsi="Calibri" w:cs="Arial"/>
              <w:b/>
              <w:sz w:val="36"/>
              <w:szCs w:val="36"/>
            </w:rPr>
            <w:t>9</w:t>
          </w:r>
        </w:p>
        <w:p w:rsidR="008855ED" w:rsidRPr="00F40A6D" w:rsidRDefault="00743F15" w:rsidP="00743F15">
          <w:pPr>
            <w:pStyle w:val="Header"/>
            <w:tabs>
              <w:tab w:val="clear" w:pos="4320"/>
              <w:tab w:val="clear" w:pos="8640"/>
              <w:tab w:val="left" w:leader="underscore" w:pos="9300"/>
            </w:tabs>
            <w:rPr>
              <w:rFonts w:ascii="Calibri" w:hAnsi="Calibri" w:cs="Arial"/>
              <w:b/>
              <w:sz w:val="36"/>
              <w:szCs w:val="36"/>
            </w:rPr>
          </w:pPr>
          <w:r>
            <w:rPr>
              <w:rFonts w:ascii="Calibri" w:hAnsi="Calibri" w:cs="Arial"/>
              <w:b/>
              <w:sz w:val="36"/>
              <w:szCs w:val="36"/>
            </w:rPr>
            <w:t xml:space="preserve">       </w:t>
          </w:r>
          <w:r w:rsidR="008855ED">
            <w:rPr>
              <w:rFonts w:ascii="Calibri" w:hAnsi="Calibri" w:cs="Arial"/>
              <w:b/>
              <w:noProof/>
              <w:sz w:val="36"/>
              <w:szCs w:val="36"/>
              <w:lang w:val="en-AU" w:eastAsia="en-AU"/>
            </w:rPr>
            <w:drawing>
              <wp:inline distT="0" distB="0" distL="0" distR="0" wp14:anchorId="49176722" wp14:editId="2856EDD6">
                <wp:extent cx="247650" cy="247650"/>
                <wp:effectExtent l="0" t="0" r="0" b="0"/>
                <wp:docPr id="3" name="Picture 3" descr="C:\Users\EmilyPezzotti\AppData\Local\Microsoft\Windows\INetCache\Content.MSO\BBBBF9A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EmilyPezzotti\AppData\Local\Microsoft\Windows\INetCache\Content.MSO\BBBBF9A2.t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rFonts w:ascii="Calibri" w:hAnsi="Calibri" w:cs="Arial"/>
              <w:b/>
              <w:sz w:val="36"/>
              <w:szCs w:val="36"/>
            </w:rPr>
            <w:t xml:space="preserve"> </w:t>
          </w:r>
          <w:r w:rsidR="008855ED">
            <w:rPr>
              <w:rFonts w:ascii="Calibri" w:hAnsi="Calibri" w:cs="Arial"/>
              <w:b/>
              <w:sz w:val="36"/>
              <w:szCs w:val="36"/>
            </w:rPr>
            <w:t xml:space="preserve">  </w:t>
          </w:r>
          <w:r w:rsidR="008855ED">
            <w:rPr>
              <w:rFonts w:ascii="Calibri" w:hAnsi="Calibri" w:cs="Arial"/>
              <w:b/>
              <w:noProof/>
              <w:sz w:val="36"/>
              <w:szCs w:val="36"/>
              <w:lang w:val="en-AU" w:eastAsia="en-AU"/>
            </w:rPr>
            <w:drawing>
              <wp:inline distT="0" distB="0" distL="0" distR="0" wp14:anchorId="615559FE">
                <wp:extent cx="247650" cy="247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pic:spPr>
                    </pic:pic>
                  </a:graphicData>
                </a:graphic>
              </wp:inline>
            </w:drawing>
          </w:r>
          <w:r w:rsidR="008855ED">
            <w:rPr>
              <w:rFonts w:ascii="Calibri" w:hAnsi="Calibri" w:cs="Arial"/>
              <w:b/>
              <w:sz w:val="36"/>
              <w:szCs w:val="36"/>
            </w:rPr>
            <w:t xml:space="preserve"> </w:t>
          </w:r>
          <w:r>
            <w:rPr>
              <w:rFonts w:ascii="Calibri" w:hAnsi="Calibri" w:cs="Arial"/>
              <w:b/>
              <w:sz w:val="36"/>
              <w:szCs w:val="36"/>
            </w:rPr>
            <w:t xml:space="preserve"> </w:t>
          </w:r>
          <w:r w:rsidR="008855ED">
            <w:rPr>
              <w:rFonts w:ascii="Calibri" w:hAnsi="Calibri" w:cs="Arial"/>
              <w:b/>
              <w:sz w:val="36"/>
              <w:szCs w:val="36"/>
            </w:rPr>
            <w:t xml:space="preserve"> </w:t>
          </w:r>
          <w:r w:rsidR="008855ED">
            <w:rPr>
              <w:rFonts w:ascii="Calibri" w:hAnsi="Calibri" w:cs="Arial"/>
              <w:b/>
              <w:noProof/>
              <w:sz w:val="36"/>
              <w:szCs w:val="36"/>
              <w:lang w:val="en-AU" w:eastAsia="en-AU"/>
            </w:rPr>
            <w:drawing>
              <wp:inline distT="0" distB="0" distL="0" distR="0" wp14:anchorId="0A15F8FB">
                <wp:extent cx="257175" cy="2571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r w:rsidR="008855ED">
            <w:rPr>
              <w:rFonts w:ascii="Calibri" w:hAnsi="Calibri" w:cs="Arial"/>
              <w:b/>
              <w:sz w:val="36"/>
              <w:szCs w:val="36"/>
            </w:rPr>
            <w:t xml:space="preserve"> </w:t>
          </w:r>
          <w:r>
            <w:rPr>
              <w:rFonts w:ascii="Calibri" w:hAnsi="Calibri" w:cs="Arial"/>
              <w:b/>
              <w:sz w:val="36"/>
              <w:szCs w:val="36"/>
            </w:rPr>
            <w:t xml:space="preserve"> </w:t>
          </w:r>
          <w:r w:rsidR="008855ED">
            <w:rPr>
              <w:rFonts w:ascii="Calibri" w:hAnsi="Calibri" w:cs="Arial"/>
              <w:b/>
              <w:sz w:val="36"/>
              <w:szCs w:val="36"/>
            </w:rPr>
            <w:t xml:space="preserve"> </w:t>
          </w:r>
          <w:r w:rsidR="008855ED">
            <w:rPr>
              <w:rFonts w:ascii="Calibri" w:hAnsi="Calibri" w:cs="Arial"/>
              <w:b/>
              <w:noProof/>
              <w:sz w:val="36"/>
              <w:szCs w:val="36"/>
              <w:lang w:val="en-AU" w:eastAsia="en-AU"/>
            </w:rPr>
            <w:drawing>
              <wp:inline distT="0" distB="0" distL="0" distR="0" wp14:anchorId="79D199F7">
                <wp:extent cx="247650" cy="247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pic:spPr>
                    </pic:pic>
                  </a:graphicData>
                </a:graphic>
              </wp:inline>
            </w:drawing>
          </w:r>
          <w:r w:rsidR="008855ED">
            <w:rPr>
              <w:rFonts w:ascii="Calibri" w:hAnsi="Calibri" w:cs="Arial"/>
              <w:b/>
              <w:sz w:val="36"/>
              <w:szCs w:val="36"/>
            </w:rPr>
            <w:t xml:space="preserve"> </w:t>
          </w:r>
          <w:r>
            <w:rPr>
              <w:rFonts w:ascii="Calibri" w:hAnsi="Calibri" w:cs="Arial"/>
              <w:b/>
              <w:sz w:val="36"/>
              <w:szCs w:val="36"/>
            </w:rPr>
            <w:t xml:space="preserve"> </w:t>
          </w:r>
          <w:r w:rsidR="008855ED">
            <w:rPr>
              <w:rFonts w:ascii="Calibri" w:hAnsi="Calibri" w:cs="Arial"/>
              <w:b/>
              <w:sz w:val="36"/>
              <w:szCs w:val="36"/>
            </w:rPr>
            <w:t xml:space="preserve"> </w:t>
          </w:r>
          <w:r w:rsidR="008855ED">
            <w:rPr>
              <w:rFonts w:ascii="Calibri" w:hAnsi="Calibri" w:cs="Arial"/>
              <w:b/>
              <w:noProof/>
              <w:sz w:val="36"/>
              <w:szCs w:val="36"/>
              <w:lang w:val="en-AU" w:eastAsia="en-AU"/>
            </w:rPr>
            <w:drawing>
              <wp:inline distT="0" distB="0" distL="0" distR="0" wp14:anchorId="3B3E6C1D" wp14:editId="5D1FB12A">
                <wp:extent cx="257175" cy="257175"/>
                <wp:effectExtent l="0" t="0" r="9525" b="9525"/>
                <wp:docPr id="8" name="Picture 8" descr="C:\Users\EmilyPezzotti\AppData\Local\Microsoft\Windows\INetCache\Content.MSO\B02636D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milyPezzotti\AppData\Local\Microsoft\Windows\INetCache\Content.MSO\B02636DD.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008855ED">
            <w:rPr>
              <w:rFonts w:ascii="Calibri" w:hAnsi="Calibri" w:cs="Arial"/>
              <w:b/>
              <w:sz w:val="36"/>
              <w:szCs w:val="36"/>
            </w:rPr>
            <w:t xml:space="preserve"> </w:t>
          </w:r>
          <w:r>
            <w:rPr>
              <w:rFonts w:ascii="Calibri" w:hAnsi="Calibri" w:cs="Arial"/>
              <w:b/>
              <w:sz w:val="36"/>
              <w:szCs w:val="36"/>
            </w:rPr>
            <w:t xml:space="preserve"> </w:t>
          </w:r>
          <w:r w:rsidR="008855ED">
            <w:rPr>
              <w:rFonts w:ascii="Calibri" w:hAnsi="Calibri" w:cs="Arial"/>
              <w:b/>
              <w:sz w:val="36"/>
              <w:szCs w:val="36"/>
            </w:rPr>
            <w:t xml:space="preserve"> </w:t>
          </w:r>
          <w:r w:rsidR="008855ED">
            <w:rPr>
              <w:rFonts w:ascii="Calibri" w:hAnsi="Calibri" w:cs="Arial"/>
              <w:b/>
              <w:noProof/>
              <w:sz w:val="36"/>
              <w:szCs w:val="36"/>
              <w:lang w:val="en-AU" w:eastAsia="en-AU"/>
            </w:rPr>
            <w:drawing>
              <wp:inline distT="0" distB="0" distL="0" distR="0" wp14:anchorId="4E5E3C20" wp14:editId="16043C48">
                <wp:extent cx="257175" cy="257175"/>
                <wp:effectExtent l="0" t="0" r="9525" b="9525"/>
                <wp:docPr id="11" name="Picture 11" descr="C:\Users\EmilyPezzotti\AppData\Local\Microsoft\Windows\INetCache\Content.MSO\FD7067B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milyPezzotti\AppData\Local\Microsoft\Windows\INetCache\Content.MSO\FD7067B0.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008855ED">
            <w:rPr>
              <w:rFonts w:ascii="Calibri" w:hAnsi="Calibri" w:cs="Arial"/>
              <w:b/>
              <w:sz w:val="36"/>
              <w:szCs w:val="36"/>
            </w:rPr>
            <w:t xml:space="preserve"> </w:t>
          </w:r>
          <w:r>
            <w:rPr>
              <w:rFonts w:ascii="Calibri" w:hAnsi="Calibri" w:cs="Arial"/>
              <w:b/>
              <w:sz w:val="36"/>
              <w:szCs w:val="36"/>
            </w:rPr>
            <w:t xml:space="preserve"> </w:t>
          </w:r>
          <w:r w:rsidR="008855ED">
            <w:rPr>
              <w:rFonts w:ascii="Calibri" w:hAnsi="Calibri" w:cs="Arial"/>
              <w:b/>
              <w:sz w:val="36"/>
              <w:szCs w:val="36"/>
            </w:rPr>
            <w:t xml:space="preserve"> </w:t>
          </w:r>
          <w:r w:rsidR="008855ED">
            <w:rPr>
              <w:rFonts w:ascii="Calibri" w:hAnsi="Calibri" w:cs="Arial"/>
              <w:b/>
              <w:noProof/>
              <w:sz w:val="36"/>
              <w:szCs w:val="36"/>
              <w:lang w:val="en-AU" w:eastAsia="en-AU"/>
            </w:rPr>
            <w:drawing>
              <wp:inline distT="0" distB="0" distL="0" distR="0" wp14:anchorId="2F74DB39" wp14:editId="1373932E">
                <wp:extent cx="257175" cy="257175"/>
                <wp:effectExtent l="0" t="0" r="9525" b="9525"/>
                <wp:docPr id="12" name="Picture 12" descr="C:\Users\EmilyPezzotti\AppData\Local\Microsoft\Windows\INetCache\Content.MSO\82A50B2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milyPezzotti\AppData\Local\Microsoft\Windows\INetCache\Content.MSO\82A50B26.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258149" cy="258149"/>
                        </a:xfrm>
                        <a:prstGeom prst="rect">
                          <a:avLst/>
                        </a:prstGeom>
                        <a:noFill/>
                        <a:ln>
                          <a:noFill/>
                        </a:ln>
                      </pic:spPr>
                    </pic:pic>
                  </a:graphicData>
                </a:graphic>
              </wp:inline>
            </w:drawing>
          </w:r>
          <w:r w:rsidR="008855ED">
            <w:rPr>
              <w:rFonts w:ascii="Calibri" w:hAnsi="Calibri" w:cs="Arial"/>
              <w:b/>
              <w:sz w:val="36"/>
              <w:szCs w:val="36"/>
            </w:rPr>
            <w:t xml:space="preserve"> </w:t>
          </w:r>
          <w:r>
            <w:rPr>
              <w:rFonts w:ascii="Calibri" w:hAnsi="Calibri" w:cs="Arial"/>
              <w:b/>
              <w:sz w:val="36"/>
              <w:szCs w:val="36"/>
            </w:rPr>
            <w:t xml:space="preserve"> </w:t>
          </w:r>
          <w:r w:rsidR="008855ED">
            <w:rPr>
              <w:rFonts w:ascii="Calibri" w:hAnsi="Calibri" w:cs="Arial"/>
              <w:b/>
              <w:sz w:val="36"/>
              <w:szCs w:val="36"/>
            </w:rPr>
            <w:t xml:space="preserve"> </w:t>
          </w:r>
          <w:r w:rsidR="008855ED">
            <w:rPr>
              <w:rFonts w:ascii="Calibri" w:hAnsi="Calibri" w:cs="Arial"/>
              <w:b/>
              <w:noProof/>
              <w:sz w:val="36"/>
              <w:szCs w:val="36"/>
              <w:lang w:val="en-AU" w:eastAsia="en-AU"/>
            </w:rPr>
            <w:drawing>
              <wp:inline distT="0" distB="0" distL="0" distR="0" wp14:anchorId="1B01A39D" wp14:editId="0228B91C">
                <wp:extent cx="257175" cy="257175"/>
                <wp:effectExtent l="0" t="0" r="9525" b="9525"/>
                <wp:docPr id="13" name="Picture 13" descr="C:\Users\EmilyPezzotti\AppData\Local\Microsoft\Windows\INetCache\Content.MSO\3D5F0B6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milyPezzotti\AppData\Local\Microsoft\Windows\INetCache\Content.MSO\3D5F0B6A.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257175" cy="257175"/>
                        </a:xfrm>
                        <a:prstGeom prst="rect">
                          <a:avLst/>
                        </a:prstGeom>
                        <a:noFill/>
                        <a:ln>
                          <a:noFill/>
                        </a:ln>
                      </pic:spPr>
                    </pic:pic>
                  </a:graphicData>
                </a:graphic>
              </wp:inline>
            </w:drawing>
          </w:r>
        </w:p>
      </w:tc>
    </w:tr>
  </w:tbl>
  <w:p w:rsidR="002C5B1F" w:rsidRPr="00EF0BB6" w:rsidRDefault="002C5B1F" w:rsidP="008855ED">
    <w:pPr>
      <w:pStyle w:val="Header"/>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F5003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1B14A7"/>
    <w:multiLevelType w:val="hybridMultilevel"/>
    <w:tmpl w:val="F3022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AE5D61"/>
    <w:multiLevelType w:val="hybridMultilevel"/>
    <w:tmpl w:val="1BB8D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FD2B0D"/>
    <w:multiLevelType w:val="hybridMultilevel"/>
    <w:tmpl w:val="8A9E3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892D59"/>
    <w:multiLevelType w:val="hybridMultilevel"/>
    <w:tmpl w:val="48C4EFB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FEE76AA"/>
    <w:multiLevelType w:val="hybridMultilevel"/>
    <w:tmpl w:val="DAFC75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9FC0BF3"/>
    <w:multiLevelType w:val="hybridMultilevel"/>
    <w:tmpl w:val="00087268"/>
    <w:lvl w:ilvl="0" w:tplc="EE7C9F9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96E230F"/>
    <w:multiLevelType w:val="hybridMultilevel"/>
    <w:tmpl w:val="49AEFD06"/>
    <w:lvl w:ilvl="0" w:tplc="1A3A8E5E">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7F71FD"/>
    <w:multiLevelType w:val="hybridMultilevel"/>
    <w:tmpl w:val="AE14D2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FD4AA4"/>
    <w:multiLevelType w:val="hybridMultilevel"/>
    <w:tmpl w:val="D454393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9"/>
  </w:num>
  <w:num w:numId="3">
    <w:abstractNumId w:val="8"/>
  </w:num>
  <w:num w:numId="4">
    <w:abstractNumId w:val="7"/>
  </w:num>
  <w:num w:numId="5">
    <w:abstractNumId w:val="6"/>
  </w:num>
  <w:num w:numId="6">
    <w:abstractNumId w:val="5"/>
  </w:num>
  <w:num w:numId="7">
    <w:abstractNumId w:val="1"/>
  </w:num>
  <w:num w:numId="8">
    <w:abstractNumId w:val="3"/>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054"/>
    <w:rsid w:val="00000306"/>
    <w:rsid w:val="00000BDE"/>
    <w:rsid w:val="00005B09"/>
    <w:rsid w:val="00014C2A"/>
    <w:rsid w:val="00014EFA"/>
    <w:rsid w:val="0002365D"/>
    <w:rsid w:val="00023BF1"/>
    <w:rsid w:val="000351A0"/>
    <w:rsid w:val="00036F1E"/>
    <w:rsid w:val="00055751"/>
    <w:rsid w:val="00063B14"/>
    <w:rsid w:val="000723FB"/>
    <w:rsid w:val="0007380A"/>
    <w:rsid w:val="0007411D"/>
    <w:rsid w:val="000834D6"/>
    <w:rsid w:val="00085579"/>
    <w:rsid w:val="00090E32"/>
    <w:rsid w:val="000A22E3"/>
    <w:rsid w:val="000A486C"/>
    <w:rsid w:val="000A5C07"/>
    <w:rsid w:val="000A5E90"/>
    <w:rsid w:val="000B0733"/>
    <w:rsid w:val="000B0AF4"/>
    <w:rsid w:val="000C4AC3"/>
    <w:rsid w:val="000D3BC4"/>
    <w:rsid w:val="000F06C5"/>
    <w:rsid w:val="000F288F"/>
    <w:rsid w:val="000F7C6F"/>
    <w:rsid w:val="00100614"/>
    <w:rsid w:val="00115CBE"/>
    <w:rsid w:val="00117614"/>
    <w:rsid w:val="00122F3F"/>
    <w:rsid w:val="00136DF6"/>
    <w:rsid w:val="00143F39"/>
    <w:rsid w:val="001464B3"/>
    <w:rsid w:val="00155B8E"/>
    <w:rsid w:val="00161E33"/>
    <w:rsid w:val="001631A2"/>
    <w:rsid w:val="00183CDB"/>
    <w:rsid w:val="00190FD6"/>
    <w:rsid w:val="001A2447"/>
    <w:rsid w:val="001A3036"/>
    <w:rsid w:val="001A4288"/>
    <w:rsid w:val="001A42D5"/>
    <w:rsid w:val="001B41E0"/>
    <w:rsid w:val="001C2E20"/>
    <w:rsid w:val="001C32A3"/>
    <w:rsid w:val="001F303C"/>
    <w:rsid w:val="001F5786"/>
    <w:rsid w:val="002005E4"/>
    <w:rsid w:val="0020331F"/>
    <w:rsid w:val="00211118"/>
    <w:rsid w:val="0022215F"/>
    <w:rsid w:val="002257EF"/>
    <w:rsid w:val="0023167F"/>
    <w:rsid w:val="00256DC4"/>
    <w:rsid w:val="00277A13"/>
    <w:rsid w:val="00281072"/>
    <w:rsid w:val="0028380E"/>
    <w:rsid w:val="00292DB1"/>
    <w:rsid w:val="002A15D9"/>
    <w:rsid w:val="002B0344"/>
    <w:rsid w:val="002B37D4"/>
    <w:rsid w:val="002B3A33"/>
    <w:rsid w:val="002C1480"/>
    <w:rsid w:val="002C5B1F"/>
    <w:rsid w:val="002E0A8F"/>
    <w:rsid w:val="002F468E"/>
    <w:rsid w:val="0030322D"/>
    <w:rsid w:val="00312D22"/>
    <w:rsid w:val="00322444"/>
    <w:rsid w:val="00322FC9"/>
    <w:rsid w:val="00325BEB"/>
    <w:rsid w:val="00326D89"/>
    <w:rsid w:val="00346262"/>
    <w:rsid w:val="003502F1"/>
    <w:rsid w:val="00352E7C"/>
    <w:rsid w:val="00373C2F"/>
    <w:rsid w:val="003902C3"/>
    <w:rsid w:val="00390E62"/>
    <w:rsid w:val="00393656"/>
    <w:rsid w:val="00393FC9"/>
    <w:rsid w:val="003A077D"/>
    <w:rsid w:val="003A5AB0"/>
    <w:rsid w:val="003A7231"/>
    <w:rsid w:val="003B504F"/>
    <w:rsid w:val="003C0846"/>
    <w:rsid w:val="003C121B"/>
    <w:rsid w:val="003C2FE8"/>
    <w:rsid w:val="003D5CE6"/>
    <w:rsid w:val="003F531A"/>
    <w:rsid w:val="0040044D"/>
    <w:rsid w:val="00405DE9"/>
    <w:rsid w:val="00415054"/>
    <w:rsid w:val="00425064"/>
    <w:rsid w:val="004413EA"/>
    <w:rsid w:val="00450B64"/>
    <w:rsid w:val="004674F9"/>
    <w:rsid w:val="0049139E"/>
    <w:rsid w:val="0049271E"/>
    <w:rsid w:val="0049553B"/>
    <w:rsid w:val="00495B86"/>
    <w:rsid w:val="00496009"/>
    <w:rsid w:val="004968BA"/>
    <w:rsid w:val="004A48FC"/>
    <w:rsid w:val="004A5D23"/>
    <w:rsid w:val="004A62B9"/>
    <w:rsid w:val="004B29FC"/>
    <w:rsid w:val="004C7C8F"/>
    <w:rsid w:val="004E409D"/>
    <w:rsid w:val="004E72AF"/>
    <w:rsid w:val="004F34A8"/>
    <w:rsid w:val="005216F8"/>
    <w:rsid w:val="00531A27"/>
    <w:rsid w:val="0054374E"/>
    <w:rsid w:val="0054557B"/>
    <w:rsid w:val="00553B5B"/>
    <w:rsid w:val="00561346"/>
    <w:rsid w:val="00565ECB"/>
    <w:rsid w:val="005738AA"/>
    <w:rsid w:val="005807E0"/>
    <w:rsid w:val="0058358F"/>
    <w:rsid w:val="00583FAF"/>
    <w:rsid w:val="00584BA9"/>
    <w:rsid w:val="005862E4"/>
    <w:rsid w:val="00594C4A"/>
    <w:rsid w:val="005A118A"/>
    <w:rsid w:val="005D7D6D"/>
    <w:rsid w:val="0061033D"/>
    <w:rsid w:val="006132E4"/>
    <w:rsid w:val="00617959"/>
    <w:rsid w:val="00624D05"/>
    <w:rsid w:val="00625393"/>
    <w:rsid w:val="0062690D"/>
    <w:rsid w:val="006306CA"/>
    <w:rsid w:val="0063506F"/>
    <w:rsid w:val="0065097E"/>
    <w:rsid w:val="006511E2"/>
    <w:rsid w:val="00655C28"/>
    <w:rsid w:val="00674CCD"/>
    <w:rsid w:val="00685E52"/>
    <w:rsid w:val="0069488A"/>
    <w:rsid w:val="006B01A3"/>
    <w:rsid w:val="006B7683"/>
    <w:rsid w:val="006C66F9"/>
    <w:rsid w:val="006D2173"/>
    <w:rsid w:val="006E0C39"/>
    <w:rsid w:val="007009DA"/>
    <w:rsid w:val="00713E6C"/>
    <w:rsid w:val="007167D5"/>
    <w:rsid w:val="00730452"/>
    <w:rsid w:val="00736D1F"/>
    <w:rsid w:val="007424EA"/>
    <w:rsid w:val="00743F15"/>
    <w:rsid w:val="0075685E"/>
    <w:rsid w:val="00762381"/>
    <w:rsid w:val="00764940"/>
    <w:rsid w:val="00770D9F"/>
    <w:rsid w:val="00773060"/>
    <w:rsid w:val="00786236"/>
    <w:rsid w:val="00793D0B"/>
    <w:rsid w:val="007A41BB"/>
    <w:rsid w:val="007B4A98"/>
    <w:rsid w:val="007B6153"/>
    <w:rsid w:val="007D330A"/>
    <w:rsid w:val="007E7F62"/>
    <w:rsid w:val="007F0142"/>
    <w:rsid w:val="007F46F8"/>
    <w:rsid w:val="008141B8"/>
    <w:rsid w:val="008152D7"/>
    <w:rsid w:val="00823B22"/>
    <w:rsid w:val="0082504C"/>
    <w:rsid w:val="00832132"/>
    <w:rsid w:val="0083240E"/>
    <w:rsid w:val="00847FA2"/>
    <w:rsid w:val="00861DF5"/>
    <w:rsid w:val="00861E72"/>
    <w:rsid w:val="0087350D"/>
    <w:rsid w:val="00873D8F"/>
    <w:rsid w:val="00882D85"/>
    <w:rsid w:val="008855ED"/>
    <w:rsid w:val="008864FC"/>
    <w:rsid w:val="00891B5A"/>
    <w:rsid w:val="00896AEA"/>
    <w:rsid w:val="008B2B11"/>
    <w:rsid w:val="008B400D"/>
    <w:rsid w:val="008B7ECC"/>
    <w:rsid w:val="008C5555"/>
    <w:rsid w:val="008C5642"/>
    <w:rsid w:val="008C7A94"/>
    <w:rsid w:val="008D6A5B"/>
    <w:rsid w:val="008D765C"/>
    <w:rsid w:val="008E4A77"/>
    <w:rsid w:val="008E4AF8"/>
    <w:rsid w:val="008F5302"/>
    <w:rsid w:val="008F76B9"/>
    <w:rsid w:val="009062D9"/>
    <w:rsid w:val="00913DC3"/>
    <w:rsid w:val="009222AA"/>
    <w:rsid w:val="00923B66"/>
    <w:rsid w:val="00923DE0"/>
    <w:rsid w:val="009248A6"/>
    <w:rsid w:val="009317A9"/>
    <w:rsid w:val="00933633"/>
    <w:rsid w:val="0093529E"/>
    <w:rsid w:val="00941A06"/>
    <w:rsid w:val="00941B82"/>
    <w:rsid w:val="0094631C"/>
    <w:rsid w:val="009518FF"/>
    <w:rsid w:val="00957B57"/>
    <w:rsid w:val="00961FC5"/>
    <w:rsid w:val="009672CA"/>
    <w:rsid w:val="00970A41"/>
    <w:rsid w:val="00971765"/>
    <w:rsid w:val="00993750"/>
    <w:rsid w:val="00994EF2"/>
    <w:rsid w:val="009A1CB4"/>
    <w:rsid w:val="009A3A31"/>
    <w:rsid w:val="009A7B82"/>
    <w:rsid w:val="009C18B3"/>
    <w:rsid w:val="009C29D2"/>
    <w:rsid w:val="009D141B"/>
    <w:rsid w:val="009D79C1"/>
    <w:rsid w:val="009E5B42"/>
    <w:rsid w:val="00A2084C"/>
    <w:rsid w:val="00A21055"/>
    <w:rsid w:val="00A34BAC"/>
    <w:rsid w:val="00A4630A"/>
    <w:rsid w:val="00A5073E"/>
    <w:rsid w:val="00A552BE"/>
    <w:rsid w:val="00A628ED"/>
    <w:rsid w:val="00A62E4F"/>
    <w:rsid w:val="00A664C4"/>
    <w:rsid w:val="00A67412"/>
    <w:rsid w:val="00A71260"/>
    <w:rsid w:val="00A72BC9"/>
    <w:rsid w:val="00A80F15"/>
    <w:rsid w:val="00AA3497"/>
    <w:rsid w:val="00AC009A"/>
    <w:rsid w:val="00AC555F"/>
    <w:rsid w:val="00AD1BEC"/>
    <w:rsid w:val="00AD6C62"/>
    <w:rsid w:val="00AD72DC"/>
    <w:rsid w:val="00AF00A5"/>
    <w:rsid w:val="00AF6C8E"/>
    <w:rsid w:val="00AF7908"/>
    <w:rsid w:val="00B02F3A"/>
    <w:rsid w:val="00B21F09"/>
    <w:rsid w:val="00B30AF8"/>
    <w:rsid w:val="00B41217"/>
    <w:rsid w:val="00B60CF1"/>
    <w:rsid w:val="00B6219B"/>
    <w:rsid w:val="00B67D08"/>
    <w:rsid w:val="00B67FCA"/>
    <w:rsid w:val="00B71406"/>
    <w:rsid w:val="00B71852"/>
    <w:rsid w:val="00B725B9"/>
    <w:rsid w:val="00B80330"/>
    <w:rsid w:val="00B9202E"/>
    <w:rsid w:val="00B9226E"/>
    <w:rsid w:val="00B979A5"/>
    <w:rsid w:val="00BA291B"/>
    <w:rsid w:val="00BB60EC"/>
    <w:rsid w:val="00BD07ED"/>
    <w:rsid w:val="00BD17D2"/>
    <w:rsid w:val="00BE1C9E"/>
    <w:rsid w:val="00BE6CEC"/>
    <w:rsid w:val="00BF1831"/>
    <w:rsid w:val="00C020AD"/>
    <w:rsid w:val="00C129DA"/>
    <w:rsid w:val="00C1537B"/>
    <w:rsid w:val="00C16A00"/>
    <w:rsid w:val="00C16FE6"/>
    <w:rsid w:val="00C179A4"/>
    <w:rsid w:val="00C26E14"/>
    <w:rsid w:val="00C43C77"/>
    <w:rsid w:val="00C5280B"/>
    <w:rsid w:val="00C619A7"/>
    <w:rsid w:val="00C64BAD"/>
    <w:rsid w:val="00C673F0"/>
    <w:rsid w:val="00C72DAC"/>
    <w:rsid w:val="00C74BB6"/>
    <w:rsid w:val="00C75207"/>
    <w:rsid w:val="00C7577B"/>
    <w:rsid w:val="00C844DD"/>
    <w:rsid w:val="00C85B23"/>
    <w:rsid w:val="00C90FC6"/>
    <w:rsid w:val="00C917A9"/>
    <w:rsid w:val="00C933FC"/>
    <w:rsid w:val="00C95EE6"/>
    <w:rsid w:val="00CC3B41"/>
    <w:rsid w:val="00CC48D0"/>
    <w:rsid w:val="00CC70D5"/>
    <w:rsid w:val="00CD3150"/>
    <w:rsid w:val="00CE1E59"/>
    <w:rsid w:val="00CF2FDA"/>
    <w:rsid w:val="00D0606A"/>
    <w:rsid w:val="00D20117"/>
    <w:rsid w:val="00D20EB2"/>
    <w:rsid w:val="00D216DC"/>
    <w:rsid w:val="00D22E58"/>
    <w:rsid w:val="00D22F9A"/>
    <w:rsid w:val="00D27493"/>
    <w:rsid w:val="00D32DC6"/>
    <w:rsid w:val="00D370A9"/>
    <w:rsid w:val="00D44743"/>
    <w:rsid w:val="00D566BF"/>
    <w:rsid w:val="00D65E01"/>
    <w:rsid w:val="00D70C87"/>
    <w:rsid w:val="00D87C6B"/>
    <w:rsid w:val="00D87D22"/>
    <w:rsid w:val="00DA3A12"/>
    <w:rsid w:val="00DA69D2"/>
    <w:rsid w:val="00DB52BA"/>
    <w:rsid w:val="00DB5929"/>
    <w:rsid w:val="00DC1610"/>
    <w:rsid w:val="00DC344B"/>
    <w:rsid w:val="00DC4D4A"/>
    <w:rsid w:val="00DD3DE6"/>
    <w:rsid w:val="00DD7785"/>
    <w:rsid w:val="00DE147D"/>
    <w:rsid w:val="00DE1E6A"/>
    <w:rsid w:val="00E02389"/>
    <w:rsid w:val="00E03EDE"/>
    <w:rsid w:val="00E20084"/>
    <w:rsid w:val="00E25D8A"/>
    <w:rsid w:val="00E27ED3"/>
    <w:rsid w:val="00E35E26"/>
    <w:rsid w:val="00E4458D"/>
    <w:rsid w:val="00E502A8"/>
    <w:rsid w:val="00E606DB"/>
    <w:rsid w:val="00E72E84"/>
    <w:rsid w:val="00E760A1"/>
    <w:rsid w:val="00E934B6"/>
    <w:rsid w:val="00EB6DC6"/>
    <w:rsid w:val="00EC1557"/>
    <w:rsid w:val="00EC2639"/>
    <w:rsid w:val="00ED3864"/>
    <w:rsid w:val="00ED4FBC"/>
    <w:rsid w:val="00EE12C8"/>
    <w:rsid w:val="00EF083C"/>
    <w:rsid w:val="00EF0BB6"/>
    <w:rsid w:val="00EF14D0"/>
    <w:rsid w:val="00EF3B54"/>
    <w:rsid w:val="00EF67A6"/>
    <w:rsid w:val="00F02EDE"/>
    <w:rsid w:val="00F067D5"/>
    <w:rsid w:val="00F073A4"/>
    <w:rsid w:val="00F1191A"/>
    <w:rsid w:val="00F13222"/>
    <w:rsid w:val="00F13BBF"/>
    <w:rsid w:val="00F1538A"/>
    <w:rsid w:val="00F26EDB"/>
    <w:rsid w:val="00F40A6D"/>
    <w:rsid w:val="00F41F62"/>
    <w:rsid w:val="00F70785"/>
    <w:rsid w:val="00F8382D"/>
    <w:rsid w:val="00F91BBA"/>
    <w:rsid w:val="00FA0408"/>
    <w:rsid w:val="00FA20EB"/>
    <w:rsid w:val="00FB44BF"/>
    <w:rsid w:val="00FB4921"/>
    <w:rsid w:val="00FC1CD0"/>
    <w:rsid w:val="00FC384C"/>
    <w:rsid w:val="00FD121A"/>
    <w:rsid w:val="00FD4325"/>
    <w:rsid w:val="00FD4556"/>
    <w:rsid w:val="00FE0D96"/>
    <w:rsid w:val="00FE62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chartTrackingRefBased/>
  <w15:docId w15:val="{0A21DA07-7D37-454D-BDB6-D85013BEC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szCs w:val="24"/>
      <w:lang w:val="en-US" w:eastAsia="zh-CN"/>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005E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720"/>
      </w:tabs>
      <w:suppressAutoHyphens/>
      <w:jc w:val="both"/>
    </w:pPr>
    <w:rPr>
      <w:rFonts w:cs="Tahoma"/>
      <w:spacing w:val="-3"/>
      <w:sz w:val="24"/>
      <w:lang w:val="en-AU"/>
    </w:rPr>
  </w:style>
  <w:style w:type="paragraph" w:styleId="BalloonText">
    <w:name w:val="Balloon Text"/>
    <w:basedOn w:val="Normal"/>
    <w:semiHidden/>
    <w:rsid w:val="00415054"/>
    <w:rPr>
      <w:rFonts w:cs="Tahoma"/>
      <w:sz w:val="16"/>
      <w:szCs w:val="16"/>
    </w:rPr>
  </w:style>
  <w:style w:type="table" w:styleId="TableGrid">
    <w:name w:val="Table Grid"/>
    <w:basedOn w:val="TableNormal"/>
    <w:uiPriority w:val="59"/>
    <w:rsid w:val="00231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2005E4"/>
    <w:rPr>
      <w:rFonts w:ascii="Times New Roman" w:eastAsia="Times New Roman" w:hAnsi="Times New Roman"/>
      <w:b/>
      <w:bCs/>
      <w:sz w:val="24"/>
      <w:lang w:eastAsia="en-US"/>
    </w:rPr>
  </w:style>
  <w:style w:type="character" w:customStyle="1" w:styleId="HeaderChar">
    <w:name w:val="Header Char"/>
    <w:link w:val="Header"/>
    <w:rsid w:val="00EF0BB6"/>
    <w:rPr>
      <w:rFonts w:ascii="Tahoma" w:hAnsi="Tahoma"/>
      <w:szCs w:val="24"/>
      <w:lang w:val="en-US" w:eastAsia="zh-CN"/>
    </w:rPr>
  </w:style>
  <w:style w:type="paragraph" w:customStyle="1" w:styleId="MediumGrid21">
    <w:name w:val="Medium Grid 21"/>
    <w:uiPriority w:val="1"/>
    <w:qFormat/>
    <w:rsid w:val="009C18B3"/>
    <w:rPr>
      <w:rFonts w:ascii="Calibri" w:eastAsia="Calibri" w:hAnsi="Calibri"/>
      <w:sz w:val="22"/>
      <w:szCs w:val="22"/>
      <w:lang w:eastAsia="en-US"/>
    </w:rPr>
  </w:style>
  <w:style w:type="paragraph" w:styleId="ListParagraph">
    <w:name w:val="List Paragraph"/>
    <w:basedOn w:val="Normal"/>
    <w:uiPriority w:val="34"/>
    <w:qFormat/>
    <w:rsid w:val="008D6A5B"/>
    <w:pPr>
      <w:ind w:left="720"/>
      <w:contextualSpacing/>
    </w:pPr>
  </w:style>
  <w:style w:type="paragraph" w:customStyle="1" w:styleId="Default">
    <w:name w:val="Default"/>
    <w:rsid w:val="00961FC5"/>
    <w:pPr>
      <w:autoSpaceDE w:val="0"/>
      <w:autoSpaceDN w:val="0"/>
      <w:adjustRightInd w:val="0"/>
    </w:pPr>
    <w:rPr>
      <w:rFonts w:ascii="Gotham Book" w:hAnsi="Gotham Book" w:cs="Gotham Book"/>
      <w:color w:val="000000"/>
      <w:sz w:val="24"/>
      <w:szCs w:val="24"/>
    </w:rPr>
  </w:style>
  <w:style w:type="character" w:styleId="Hyperlink">
    <w:name w:val="Hyperlink"/>
    <w:basedOn w:val="DefaultParagraphFont"/>
    <w:uiPriority w:val="99"/>
    <w:unhideWhenUsed/>
    <w:rsid w:val="00352E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196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olper.com.a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12.jpeg"/><Relationship Id="rId3" Type="http://schemas.openxmlformats.org/officeDocument/2006/relationships/image" Target="media/image7.png"/><Relationship Id="rId7" Type="http://schemas.openxmlformats.org/officeDocument/2006/relationships/image" Target="media/image11.jpeg"/><Relationship Id="rId2" Type="http://schemas.openxmlformats.org/officeDocument/2006/relationships/image" Target="media/image6.jpeg"/><Relationship Id="rId1" Type="http://schemas.openxmlformats.org/officeDocument/2006/relationships/image" Target="media/image5.jpeg"/><Relationship Id="rId6" Type="http://schemas.openxmlformats.org/officeDocument/2006/relationships/image" Target="media/image10.jpeg"/><Relationship Id="rId5" Type="http://schemas.openxmlformats.org/officeDocument/2006/relationships/image" Target="media/image9.png"/><Relationship Id="rId4" Type="http://schemas.openxmlformats.org/officeDocument/2006/relationships/image" Target="media/image8.png"/><Relationship Id="rId9"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0C4DF-BBEB-4B39-84F2-842FEF382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Part 1: Who should have a copy of this procedure</vt:lpstr>
    </vt:vector>
  </TitlesOfParts>
  <Company>Benchmark Certification</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Who should have a copy of this procedure</dc:title>
  <dc:subject/>
  <dc:creator>Herve Michoux</dc:creator>
  <cp:keywords/>
  <cp:lastModifiedBy>Emily Pezzotti</cp:lastModifiedBy>
  <cp:revision>2</cp:revision>
  <cp:lastPrinted>2018-08-21T00:57:00Z</cp:lastPrinted>
  <dcterms:created xsi:type="dcterms:W3CDTF">2019-09-11T06:23:00Z</dcterms:created>
  <dcterms:modified xsi:type="dcterms:W3CDTF">2019-09-11T06:23:00Z</dcterms:modified>
</cp:coreProperties>
</file>